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46E232">
      <w:pPr>
        <w:spacing w:after="156" w:afterLines="50" w:line="360" w:lineRule="auto"/>
        <w:jc w:val="center"/>
        <w:rPr>
          <w:rFonts w:ascii="Times New Roman" w:hAnsi="Times New Roman" w:eastAsia="宋体"/>
          <w:b/>
          <w:bCs/>
          <w:sz w:val="28"/>
          <w:szCs w:val="28"/>
        </w:rPr>
      </w:pPr>
      <w:bookmarkStart w:id="1" w:name="_GoBack"/>
      <w:bookmarkEnd w:id="1"/>
      <w:r>
        <w:rPr>
          <w:rFonts w:hint="eastAsia" w:ascii="Times New Roman" w:hAnsi="Times New Roman" w:eastAsia="宋体"/>
          <w:b/>
          <w:bCs/>
          <w:sz w:val="28"/>
          <w:szCs w:val="28"/>
        </w:rPr>
        <w:t xml:space="preserve">《化妆品中四氢甲基嘧啶羧酸的检验方法 </w:t>
      </w:r>
    </w:p>
    <w:p w14:paraId="1B530399">
      <w:pPr>
        <w:spacing w:after="156" w:afterLines="50" w:line="360" w:lineRule="auto"/>
        <w:jc w:val="center"/>
        <w:rPr>
          <w:rFonts w:ascii="Times New Roman" w:hAnsi="Times New Roman" w:eastAsia="宋体"/>
          <w:b/>
          <w:bCs/>
          <w:sz w:val="28"/>
          <w:szCs w:val="28"/>
        </w:rPr>
      </w:pPr>
      <w:r>
        <w:rPr>
          <w:rFonts w:hint="eastAsia" w:ascii="Times New Roman" w:hAnsi="Times New Roman" w:eastAsia="宋体"/>
          <w:b/>
          <w:bCs/>
          <w:sz w:val="28"/>
          <w:szCs w:val="28"/>
        </w:rPr>
        <w:t>高效液相色谱法》团体标准</w:t>
      </w:r>
      <w:r>
        <w:rPr>
          <w:rFonts w:ascii="Times New Roman" w:hAnsi="Times New Roman" w:eastAsia="宋体"/>
          <w:b/>
          <w:bCs/>
          <w:sz w:val="28"/>
          <w:szCs w:val="28"/>
        </w:rPr>
        <w:t>编制说明</w:t>
      </w:r>
    </w:p>
    <w:p w14:paraId="5ABDB369">
      <w:pPr>
        <w:pStyle w:val="27"/>
        <w:tabs>
          <w:tab w:val="left" w:pos="1276"/>
        </w:tabs>
        <w:spacing w:line="360" w:lineRule="auto"/>
        <w:ind w:firstLine="0" w:firstLineChars="0"/>
        <w:rPr>
          <w:rFonts w:ascii="Times New Roman" w:hAnsi="Times New Roman" w:eastAsia="宋体"/>
          <w:b/>
          <w:bCs/>
          <w:sz w:val="24"/>
          <w:szCs w:val="24"/>
        </w:rPr>
      </w:pPr>
      <w:r>
        <w:rPr>
          <w:rFonts w:ascii="Times New Roman" w:hAnsi="Times New Roman" w:eastAsia="宋体"/>
          <w:b/>
          <w:bCs/>
          <w:sz w:val="24"/>
          <w:szCs w:val="24"/>
        </w:rPr>
        <w:t>一、标准起草的基本情况（包括简要的起草过程、主要起草单位、起草人等）</w:t>
      </w:r>
    </w:p>
    <w:p w14:paraId="3A98B124">
      <w:pPr>
        <w:pStyle w:val="6"/>
        <w:spacing w:before="62" w:beforeLines="20" w:after="62" w:afterLines="20" w:line="360" w:lineRule="auto"/>
        <w:ind w:left="0" w:firstLine="420" w:firstLineChars="200"/>
        <w:rPr>
          <w:rFonts w:ascii="仿宋" w:hAnsi="仿宋" w:eastAsia="仿宋" w:cs="仿宋"/>
          <w:sz w:val="21"/>
          <w:szCs w:val="21"/>
          <w:lang w:val="en-US"/>
        </w:rPr>
      </w:pPr>
      <w:r>
        <w:rPr>
          <w:rFonts w:hint="eastAsia" w:ascii="仿宋" w:hAnsi="仿宋" w:eastAsia="仿宋" w:cs="仿宋"/>
          <w:sz w:val="21"/>
          <w:szCs w:val="21"/>
          <w:lang w:val="en-US"/>
        </w:rPr>
        <w:t>四氢甲基嘧啶羧酸又名依克多因（Ec</w:t>
      </w:r>
      <w:r>
        <w:rPr>
          <w:rFonts w:ascii="仿宋" w:hAnsi="仿宋" w:eastAsia="仿宋" w:cs="仿宋"/>
          <w:sz w:val="21"/>
          <w:szCs w:val="21"/>
          <w:lang w:val="en-US"/>
        </w:rPr>
        <w:t>toin</w:t>
      </w:r>
      <w:r>
        <w:rPr>
          <w:rFonts w:hint="eastAsia" w:ascii="仿宋" w:hAnsi="仿宋" w:eastAsia="仿宋" w:cs="仿宋"/>
          <w:sz w:val="21"/>
          <w:szCs w:val="21"/>
          <w:lang w:val="en-US"/>
        </w:rPr>
        <w:t>）,是一种氨基酸衍生物，具有良好的亲水性，可组织结合其周围的水分子及氨基酸衍生物，产生“Ec</w:t>
      </w:r>
      <w:r>
        <w:rPr>
          <w:rFonts w:ascii="仿宋" w:hAnsi="仿宋" w:eastAsia="仿宋" w:cs="仿宋"/>
          <w:sz w:val="21"/>
          <w:szCs w:val="21"/>
          <w:lang w:val="en-US"/>
        </w:rPr>
        <w:t>toin</w:t>
      </w:r>
      <w:r>
        <w:rPr>
          <w:rFonts w:hint="eastAsia" w:ascii="仿宋" w:hAnsi="仿宋" w:eastAsia="仿宋" w:cs="仿宋"/>
          <w:sz w:val="21"/>
          <w:szCs w:val="21"/>
          <w:lang w:val="en-US"/>
        </w:rPr>
        <w:t>水电复合”，这些复合物围绕着细胞、酶、蛋白质和其他生物分子，在周围形成稳定的水合壳，可维持渗透压平衡，减少内在细胞的水分过度蒸发，保护细胞，以保证细胞内的分子能正常运行。与此同时，依克多因还可以帮助肌肤屏障恢复，保持肌肤健康水润。不仅能高效阻挡太阳光和蓝光的侵害，还能抵御空气中的污染物和过敏原。除了修护、保湿、防护外，依克多因还能激活皮肤的朗格汉斯细胞，激发皮肤的自我修护能力，提升皮肤细胞的免疫防护能力。</w:t>
      </w:r>
      <w:r>
        <w:rPr>
          <w:rFonts w:hint="eastAsia" w:ascii="仿宋" w:hAnsi="仿宋" w:eastAsia="仿宋" w:cs="仿宋"/>
          <w:sz w:val="21"/>
          <w:szCs w:val="21"/>
          <w:lang w:val="en-US" w:bidi="ar-SA"/>
        </w:rPr>
        <w:t>在化妆品中可用做皮肤保护剂、保湿剂，具有修护、抗皱、紧致的功效。</w:t>
      </w:r>
    </w:p>
    <w:p w14:paraId="0ED07E6F">
      <w:pPr>
        <w:pStyle w:val="10"/>
        <w:shd w:val="clear" w:color="auto" w:fill="FFFFFF"/>
        <w:spacing w:before="0" w:beforeAutospacing="0" w:after="0" w:afterAutospacing="0" w:line="360" w:lineRule="auto"/>
        <w:ind w:firstLine="420" w:firstLineChars="200"/>
        <w:rPr>
          <w:rFonts w:ascii="仿宋" w:hAnsi="仿宋" w:eastAsia="仿宋" w:cs="仿宋"/>
          <w:kern w:val="2"/>
          <w:sz w:val="21"/>
          <w:szCs w:val="21"/>
        </w:rPr>
      </w:pPr>
      <w:r>
        <w:rPr>
          <w:rFonts w:hint="eastAsia" w:ascii="仿宋" w:hAnsi="仿宋" w:eastAsia="仿宋" w:cs="仿宋"/>
          <w:sz w:val="21"/>
          <w:szCs w:val="21"/>
        </w:rPr>
        <w:t>四氢甲基嘧啶羧酸</w:t>
      </w:r>
      <w:r>
        <w:rPr>
          <w:rFonts w:hint="eastAsia" w:ascii="仿宋" w:hAnsi="仿宋" w:eastAsia="仿宋" w:cs="仿宋"/>
          <w:kern w:val="2"/>
          <w:sz w:val="21"/>
          <w:szCs w:val="21"/>
        </w:rPr>
        <w:t>原料具有良好的安全性、有效性、稳定性和配伍相容性，其在化妆品中的使用迅速增多。但是，对</w:t>
      </w:r>
      <w:r>
        <w:rPr>
          <w:rFonts w:hint="eastAsia" w:ascii="仿宋" w:hAnsi="仿宋" w:eastAsia="仿宋" w:cs="仿宋"/>
          <w:sz w:val="21"/>
          <w:szCs w:val="21"/>
        </w:rPr>
        <w:t>四氢甲基嘧啶羧酸的检测方法仅少量专利进行过探究</w:t>
      </w:r>
      <w:r>
        <w:rPr>
          <w:rFonts w:hint="eastAsia" w:ascii="仿宋" w:hAnsi="仿宋" w:eastAsia="仿宋" w:cs="仿宋"/>
          <w:kern w:val="2"/>
          <w:sz w:val="21"/>
          <w:szCs w:val="21"/>
        </w:rPr>
        <w:t xml:space="preserve">，目前还没有较为统一的质量标准规范，原料的质量和功效是化妆品安全和功效的基础和保障，因此，为落实《化妆品监督管理条例》规定，从源头把控化妆品的安全和功效，经湖南水羊化妆品制造有限公司提案，中国香料香精化妆品工业协会提出制定《化妆品用原料 </w:t>
      </w:r>
      <w:r>
        <w:rPr>
          <w:rFonts w:hint="eastAsia" w:ascii="仿宋" w:hAnsi="仿宋" w:eastAsia="仿宋" w:cs="仿宋"/>
          <w:sz w:val="21"/>
          <w:szCs w:val="21"/>
        </w:rPr>
        <w:t>四氢甲基嘧啶羧酸的检验方法 高效液相色谱法</w:t>
      </w:r>
      <w:r>
        <w:rPr>
          <w:rFonts w:hint="eastAsia" w:ascii="仿宋" w:hAnsi="仿宋" w:eastAsia="仿宋" w:cs="仿宋"/>
          <w:kern w:val="2"/>
          <w:sz w:val="21"/>
          <w:szCs w:val="21"/>
        </w:rPr>
        <w:t>》团体标准，经立项公示通过立项，组织制定工作。</w:t>
      </w:r>
    </w:p>
    <w:p w14:paraId="6F8F1F52">
      <w:pPr>
        <w:pStyle w:val="10"/>
        <w:shd w:val="clear" w:color="auto" w:fill="FFFFFF"/>
        <w:spacing w:before="0" w:beforeAutospacing="0" w:after="0" w:afterAutospacing="0" w:line="360" w:lineRule="auto"/>
        <w:ind w:firstLine="420" w:firstLineChars="200"/>
        <w:rPr>
          <w:rFonts w:ascii="仿宋" w:hAnsi="仿宋" w:eastAsia="仿宋" w:cs="仿宋"/>
          <w:kern w:val="2"/>
          <w:sz w:val="21"/>
          <w:szCs w:val="21"/>
        </w:rPr>
      </w:pPr>
      <w:r>
        <w:rPr>
          <w:rFonts w:hint="eastAsia" w:ascii="仿宋" w:hAnsi="仿宋" w:eastAsia="仿宋" w:cs="仿宋"/>
          <w:kern w:val="2"/>
          <w:sz w:val="21"/>
          <w:szCs w:val="21"/>
        </w:rPr>
        <w:t>由于此产品目前国内外没有相关的法规标准，本标准起草制定参照</w:t>
      </w:r>
      <w:r>
        <w:rPr>
          <w:rFonts w:hint="eastAsia" w:ascii="仿宋" w:hAnsi="仿宋" w:eastAsia="仿宋" w:cs="仿宋"/>
          <w:sz w:val="21"/>
          <w:szCs w:val="21"/>
        </w:rPr>
        <w:t>《关于印发化妆品中禁用物质和限用物质检测方法验证技术规范的通知》</w:t>
      </w:r>
      <w:r>
        <w:rPr>
          <w:rFonts w:ascii="仿宋" w:hAnsi="仿宋" w:eastAsia="仿宋" w:cs="仿宋"/>
          <w:sz w:val="21"/>
          <w:szCs w:val="21"/>
        </w:rPr>
        <w:t>(国食药监许[2010]455号)</w:t>
      </w:r>
      <w:r>
        <w:rPr>
          <w:rFonts w:hint="eastAsia" w:ascii="仿宋" w:hAnsi="仿宋" w:eastAsia="仿宋" w:cs="仿宋"/>
          <w:kern w:val="2"/>
          <w:sz w:val="21"/>
          <w:szCs w:val="21"/>
        </w:rPr>
        <w:t>和</w:t>
      </w:r>
      <w:r>
        <w:rPr>
          <w:rFonts w:hint="eastAsia" w:ascii="仿宋" w:hAnsi="仿宋" w:eastAsia="仿宋" w:cs="仿宋"/>
          <w:sz w:val="21"/>
          <w:szCs w:val="21"/>
        </w:rPr>
        <w:t>《化妆品安全技术规范》（2015版）</w:t>
      </w:r>
      <w:r>
        <w:rPr>
          <w:rFonts w:hint="eastAsia" w:ascii="仿宋" w:hAnsi="仿宋" w:eastAsia="仿宋" w:cs="仿宋"/>
          <w:kern w:val="2"/>
          <w:sz w:val="21"/>
          <w:szCs w:val="21"/>
        </w:rPr>
        <w:t>进行编制。</w:t>
      </w:r>
    </w:p>
    <w:p w14:paraId="60B17311">
      <w:pPr>
        <w:spacing w:line="360" w:lineRule="auto"/>
        <w:rPr>
          <w:rFonts w:ascii="Times New Roman" w:hAnsi="Times New Roman" w:eastAsia="宋体"/>
          <w:b/>
          <w:bCs/>
          <w:sz w:val="28"/>
          <w:szCs w:val="28"/>
        </w:rPr>
      </w:pPr>
      <w:r>
        <w:rPr>
          <w:rFonts w:ascii="Times New Roman" w:hAnsi="Times New Roman" w:eastAsia="宋体"/>
          <w:b/>
          <w:bCs/>
          <w:sz w:val="24"/>
          <w:szCs w:val="24"/>
        </w:rPr>
        <w:t>1．工作来源</w:t>
      </w:r>
    </w:p>
    <w:p w14:paraId="12982AC5">
      <w:pPr>
        <w:spacing w:line="360" w:lineRule="auto"/>
        <w:ind w:firstLine="420" w:firstLineChars="200"/>
        <w:rPr>
          <w:rFonts w:ascii="仿宋" w:hAnsi="仿宋" w:eastAsia="仿宋" w:cs="仿宋"/>
          <w:szCs w:val="21"/>
        </w:rPr>
      </w:pPr>
      <w:r>
        <w:rPr>
          <w:rFonts w:hint="eastAsia" w:ascii="仿宋" w:hAnsi="仿宋" w:eastAsia="仿宋" w:cs="仿宋"/>
          <w:szCs w:val="21"/>
        </w:rPr>
        <w:t>根据</w:t>
      </w:r>
      <w:r>
        <w:rPr>
          <w:rFonts w:ascii="仿宋" w:hAnsi="仿宋" w:eastAsia="仿宋" w:cs="仿宋"/>
          <w:szCs w:val="21"/>
        </w:rPr>
        <w:t>“</w:t>
      </w:r>
      <w:r>
        <w:rPr>
          <w:rFonts w:hint="eastAsia" w:ascii="仿宋" w:hAnsi="仿宋" w:eastAsia="仿宋" w:cs="仿宋"/>
          <w:szCs w:val="21"/>
        </w:rPr>
        <w:t>关于202</w:t>
      </w:r>
      <w:r>
        <w:rPr>
          <w:rFonts w:ascii="仿宋" w:hAnsi="仿宋" w:eastAsia="仿宋" w:cs="仿宋"/>
          <w:szCs w:val="21"/>
        </w:rPr>
        <w:t>4</w:t>
      </w:r>
      <w:r>
        <w:rPr>
          <w:rFonts w:hint="eastAsia" w:ascii="仿宋" w:hAnsi="仿宋" w:eastAsia="仿宋" w:cs="仿宋"/>
          <w:szCs w:val="21"/>
        </w:rPr>
        <w:t>年中国香料香精化妆品工业协会团体标准（第一批）立项公示的通知</w:t>
      </w:r>
      <w:r>
        <w:rPr>
          <w:rFonts w:ascii="仿宋" w:hAnsi="仿宋" w:eastAsia="仿宋" w:cs="仿宋"/>
          <w:szCs w:val="21"/>
        </w:rPr>
        <w:t>”，由</w:t>
      </w:r>
      <w:r>
        <w:rPr>
          <w:rFonts w:hint="eastAsia" w:ascii="仿宋" w:hAnsi="仿宋" w:eastAsia="仿宋" w:cs="仿宋"/>
          <w:szCs w:val="21"/>
        </w:rPr>
        <w:t>湖南水羊化妆品制造有限公司</w:t>
      </w:r>
      <w:r>
        <w:rPr>
          <w:rFonts w:ascii="仿宋" w:hAnsi="仿宋" w:eastAsia="仿宋" w:cs="仿宋"/>
          <w:szCs w:val="21"/>
        </w:rPr>
        <w:t>、</w:t>
      </w:r>
      <w:r>
        <w:rPr>
          <w:rFonts w:hint="eastAsia" w:ascii="仿宋" w:hAnsi="仿宋" w:eastAsia="仿宋" w:cs="仿宋"/>
          <w:szCs w:val="21"/>
        </w:rPr>
        <w:t>华熙生物科技股份有限公司、广州质量检验研究院</w:t>
      </w:r>
      <w:r>
        <w:rPr>
          <w:rFonts w:ascii="仿宋" w:hAnsi="仿宋" w:eastAsia="仿宋" w:cs="仿宋"/>
          <w:szCs w:val="21"/>
        </w:rPr>
        <w:t>联合研究制定《化妆品</w:t>
      </w:r>
      <w:r>
        <w:rPr>
          <w:rFonts w:hint="eastAsia" w:ascii="仿宋" w:hAnsi="仿宋" w:eastAsia="仿宋" w:cs="仿宋"/>
          <w:szCs w:val="21"/>
        </w:rPr>
        <w:t>中四氢甲基嘧啶羧酸的检验方法 高效液相色谱法</w:t>
      </w:r>
      <w:r>
        <w:rPr>
          <w:rFonts w:ascii="仿宋" w:hAnsi="仿宋" w:eastAsia="仿宋" w:cs="仿宋"/>
          <w:szCs w:val="21"/>
        </w:rPr>
        <w:t>》团体标准。</w:t>
      </w:r>
    </w:p>
    <w:p w14:paraId="72AD8801">
      <w:pPr>
        <w:spacing w:line="360" w:lineRule="auto"/>
        <w:ind w:firstLine="420" w:firstLineChars="200"/>
        <w:rPr>
          <w:rFonts w:ascii="仿宋" w:hAnsi="仿宋" w:eastAsia="仿宋" w:cs="仿宋"/>
          <w:szCs w:val="21"/>
        </w:rPr>
      </w:pPr>
      <w:r>
        <w:rPr>
          <w:rFonts w:hint="eastAsia" w:ascii="仿宋" w:hAnsi="仿宋" w:eastAsia="仿宋" w:cs="仿宋"/>
          <w:szCs w:val="21"/>
        </w:rPr>
        <w:t>202</w:t>
      </w:r>
      <w:r>
        <w:rPr>
          <w:rFonts w:ascii="仿宋" w:hAnsi="仿宋" w:eastAsia="仿宋" w:cs="仿宋"/>
          <w:szCs w:val="21"/>
        </w:rPr>
        <w:t>4</w:t>
      </w:r>
      <w:r>
        <w:rPr>
          <w:rFonts w:hint="eastAsia" w:ascii="仿宋" w:hAnsi="仿宋" w:eastAsia="仿宋" w:cs="仿宋"/>
          <w:szCs w:val="21"/>
        </w:rPr>
        <w:t>年</w:t>
      </w:r>
      <w:r>
        <w:rPr>
          <w:rFonts w:ascii="仿宋" w:hAnsi="仿宋" w:eastAsia="仿宋" w:cs="仿宋"/>
          <w:szCs w:val="21"/>
        </w:rPr>
        <w:t>4</w:t>
      </w:r>
      <w:r>
        <w:rPr>
          <w:rFonts w:hint="eastAsia" w:ascii="仿宋" w:hAnsi="仿宋" w:eastAsia="仿宋" w:cs="仿宋"/>
          <w:szCs w:val="21"/>
        </w:rPr>
        <w:t>月，本团体标准经中国香料香精化妆品工业协会审议通过立项，通知见《关于202</w:t>
      </w:r>
      <w:r>
        <w:rPr>
          <w:rFonts w:ascii="仿宋" w:hAnsi="仿宋" w:eastAsia="仿宋" w:cs="仿宋"/>
          <w:szCs w:val="21"/>
        </w:rPr>
        <w:t>4</w:t>
      </w:r>
      <w:r>
        <w:rPr>
          <w:rFonts w:hint="eastAsia" w:ascii="仿宋" w:hAnsi="仿宋" w:eastAsia="仿宋" w:cs="仿宋"/>
          <w:szCs w:val="21"/>
        </w:rPr>
        <w:t>年中国香料香精化妆品工业协会团体标准（第一批）立项公示的通知》。</w:t>
      </w:r>
    </w:p>
    <w:p w14:paraId="6FA9B021">
      <w:pPr>
        <w:pStyle w:val="2"/>
        <w:ind w:firstLine="480"/>
        <w:rPr>
          <w:lang w:val="en-US"/>
        </w:rPr>
      </w:pPr>
    </w:p>
    <w:p w14:paraId="0647704C">
      <w:pPr>
        <w:pStyle w:val="27"/>
        <w:numPr>
          <w:ilvl w:val="0"/>
          <w:numId w:val="1"/>
        </w:numPr>
        <w:spacing w:line="360" w:lineRule="auto"/>
        <w:ind w:firstLineChars="0"/>
        <w:rPr>
          <w:rFonts w:ascii="Times New Roman" w:hAnsi="Times New Roman" w:eastAsia="宋体"/>
          <w:b/>
          <w:bCs/>
          <w:sz w:val="24"/>
          <w:szCs w:val="24"/>
        </w:rPr>
      </w:pPr>
      <w:r>
        <w:rPr>
          <w:rFonts w:ascii="Times New Roman" w:hAnsi="Times New Roman" w:eastAsia="宋体"/>
          <w:b/>
          <w:bCs/>
          <w:sz w:val="24"/>
          <w:szCs w:val="24"/>
        </w:rPr>
        <w:t>起草单位与主要起草人</w:t>
      </w:r>
    </w:p>
    <w:p w14:paraId="7DABD6AB">
      <w:pPr>
        <w:spacing w:line="360" w:lineRule="auto"/>
        <w:ind w:firstLine="420" w:firstLineChars="200"/>
        <w:rPr>
          <w:rFonts w:hint="eastAsia" w:ascii="仿宋" w:hAnsi="仿宋" w:eastAsia="仿宋" w:cs="仿宋"/>
          <w:szCs w:val="21"/>
          <w:lang w:eastAsia="zh-CN"/>
        </w:rPr>
      </w:pPr>
      <w:r>
        <w:rPr>
          <w:rFonts w:hint="eastAsia" w:ascii="仿宋" w:hAnsi="仿宋" w:eastAsia="仿宋" w:cs="仿宋"/>
          <w:szCs w:val="21"/>
        </w:rPr>
        <w:t>联合牵头单位：湖南水羊化妆品制造有限公司、华熙生物科技股份有限公司</w:t>
      </w:r>
      <w:r>
        <w:rPr>
          <w:rFonts w:hint="eastAsia" w:ascii="仿宋" w:hAnsi="仿宋" w:eastAsia="仿宋" w:cs="仿宋"/>
          <w:szCs w:val="21"/>
          <w:lang w:eastAsia="zh-CN"/>
        </w:rPr>
        <w:t>。</w:t>
      </w:r>
    </w:p>
    <w:p w14:paraId="644F248E">
      <w:pPr>
        <w:spacing w:line="360" w:lineRule="auto"/>
        <w:ind w:firstLine="420" w:firstLineChars="200"/>
        <w:rPr>
          <w:rFonts w:hint="eastAsia" w:ascii="仿宋" w:hAnsi="仿宋" w:eastAsia="仿宋" w:cs="仿宋"/>
          <w:szCs w:val="21"/>
          <w:lang w:eastAsia="zh-CN"/>
        </w:rPr>
      </w:pPr>
      <w:r>
        <w:rPr>
          <w:rFonts w:hint="eastAsia" w:ascii="仿宋" w:hAnsi="仿宋" w:eastAsia="仿宋" w:cs="仿宋"/>
          <w:szCs w:val="21"/>
        </w:rPr>
        <w:t>协作起草单位：广州质量检验研究院</w:t>
      </w:r>
      <w:r>
        <w:rPr>
          <w:rFonts w:hint="eastAsia" w:ascii="仿宋" w:hAnsi="仿宋" w:eastAsia="仿宋" w:cs="仿宋"/>
          <w:szCs w:val="21"/>
          <w:lang w:eastAsia="zh-CN"/>
        </w:rPr>
        <w:t>。</w:t>
      </w:r>
    </w:p>
    <w:p w14:paraId="4B3A38F2">
      <w:pPr>
        <w:spacing w:before="120" w:after="120" w:line="288" w:lineRule="auto"/>
        <w:ind w:firstLine="420" w:firstLineChars="200"/>
        <w:rPr>
          <w:rFonts w:eastAsia="宋体"/>
        </w:rPr>
      </w:pPr>
      <w:r>
        <w:rPr>
          <w:rFonts w:hint="eastAsia" w:ascii="仿宋" w:hAnsi="仿宋" w:eastAsia="仿宋" w:cs="仿宋"/>
          <w:szCs w:val="21"/>
        </w:rPr>
        <w:t>主要起草成员：张廷志、刘泽鑫、李旭杰、王怡玮、唐毓萍、王艳旗、黄亮、</w:t>
      </w:r>
      <w:r>
        <w:rPr>
          <w:rFonts w:ascii="仿宋" w:hAnsi="仿宋" w:eastAsia="仿宋" w:cs="仿宋"/>
          <w:szCs w:val="21"/>
        </w:rPr>
        <w:t>陈彦君</w:t>
      </w:r>
      <w:r>
        <w:rPr>
          <w:rFonts w:hint="eastAsia" w:ascii="仿宋" w:hAnsi="仿宋" w:eastAsia="仿宋" w:cs="仿宋"/>
          <w:szCs w:val="21"/>
        </w:rPr>
        <w:t>、</w:t>
      </w:r>
      <w:r>
        <w:rPr>
          <w:rFonts w:ascii="仿宋" w:hAnsi="仿宋" w:eastAsia="仿宋" w:cs="仿宋"/>
          <w:szCs w:val="21"/>
        </w:rPr>
        <w:t>郭宁海</w:t>
      </w:r>
      <w:r>
        <w:rPr>
          <w:rFonts w:hint="eastAsia" w:ascii="仿宋" w:hAnsi="仿宋" w:eastAsia="仿宋" w:cs="仿宋"/>
          <w:szCs w:val="21"/>
        </w:rPr>
        <w:t>。</w:t>
      </w:r>
    </w:p>
    <w:p w14:paraId="13A78232">
      <w:pPr>
        <w:pStyle w:val="27"/>
        <w:numPr>
          <w:ilvl w:val="0"/>
          <w:numId w:val="1"/>
        </w:numPr>
        <w:spacing w:line="360" w:lineRule="auto"/>
        <w:ind w:firstLineChars="0"/>
        <w:rPr>
          <w:rFonts w:ascii="Times New Roman" w:hAnsi="Times New Roman" w:eastAsia="宋体"/>
          <w:b/>
          <w:bCs/>
          <w:sz w:val="24"/>
          <w:szCs w:val="24"/>
        </w:rPr>
      </w:pPr>
      <w:r>
        <w:rPr>
          <w:rFonts w:ascii="Times New Roman" w:hAnsi="Times New Roman" w:eastAsia="宋体"/>
          <w:b/>
          <w:bCs/>
          <w:sz w:val="24"/>
          <w:szCs w:val="24"/>
        </w:rPr>
        <w:t>主要工作过程</w:t>
      </w:r>
    </w:p>
    <w:p w14:paraId="1C3A6952">
      <w:pPr>
        <w:spacing w:line="360" w:lineRule="auto"/>
        <w:ind w:firstLine="420" w:firstLineChars="200"/>
        <w:rPr>
          <w:rFonts w:ascii="仿宋" w:hAnsi="仿宋" w:eastAsia="仿宋" w:cs="仿宋"/>
          <w:szCs w:val="21"/>
        </w:rPr>
      </w:pPr>
      <w:r>
        <w:rPr>
          <w:rFonts w:hint="eastAsia" w:ascii="仿宋" w:hAnsi="仿宋" w:eastAsia="仿宋" w:cs="仿宋"/>
          <w:szCs w:val="21"/>
        </w:rPr>
        <w:t>202</w:t>
      </w:r>
      <w:r>
        <w:rPr>
          <w:rFonts w:ascii="仿宋" w:hAnsi="仿宋" w:eastAsia="仿宋" w:cs="仿宋"/>
          <w:szCs w:val="21"/>
        </w:rPr>
        <w:t>4</w:t>
      </w:r>
      <w:r>
        <w:rPr>
          <w:rFonts w:hint="eastAsia" w:ascii="仿宋" w:hAnsi="仿宋" w:eastAsia="仿宋" w:cs="仿宋"/>
          <w:szCs w:val="21"/>
        </w:rPr>
        <w:t>年</w:t>
      </w:r>
      <w:r>
        <w:rPr>
          <w:rFonts w:ascii="仿宋" w:hAnsi="仿宋" w:eastAsia="仿宋" w:cs="仿宋"/>
          <w:szCs w:val="21"/>
        </w:rPr>
        <w:t>3</w:t>
      </w:r>
      <w:r>
        <w:rPr>
          <w:rFonts w:hint="eastAsia" w:ascii="仿宋" w:hAnsi="仿宋" w:eastAsia="仿宋" w:cs="仿宋"/>
          <w:szCs w:val="21"/>
        </w:rPr>
        <w:t>月，湖南水羊化妆品制造有限公司作为立项申请人向中国香料香精化妆品工业协会提出《</w:t>
      </w:r>
      <w:r>
        <w:rPr>
          <w:rFonts w:ascii="仿宋" w:hAnsi="仿宋" w:eastAsia="仿宋" w:cs="仿宋"/>
          <w:szCs w:val="21"/>
        </w:rPr>
        <w:t>化妆品中四氢甲基嘧啶羧酸含量的检验方法</w:t>
      </w:r>
      <w:r>
        <w:rPr>
          <w:rFonts w:hint="eastAsia" w:ascii="仿宋" w:hAnsi="仿宋" w:eastAsia="仿宋" w:cs="仿宋"/>
          <w:szCs w:val="21"/>
        </w:rPr>
        <w:t>》团体标准立项提案。</w:t>
      </w:r>
    </w:p>
    <w:p w14:paraId="07E72843">
      <w:pPr>
        <w:spacing w:line="360" w:lineRule="auto"/>
        <w:ind w:firstLine="420" w:firstLineChars="200"/>
        <w:rPr>
          <w:rFonts w:ascii="仿宋" w:hAnsi="仿宋" w:eastAsia="仿宋" w:cs="仿宋"/>
          <w:szCs w:val="21"/>
        </w:rPr>
      </w:pPr>
      <w:r>
        <w:rPr>
          <w:rFonts w:hint="eastAsia" w:ascii="仿宋" w:hAnsi="仿宋" w:eastAsia="仿宋" w:cs="仿宋"/>
          <w:szCs w:val="21"/>
        </w:rPr>
        <w:t>202</w:t>
      </w:r>
      <w:r>
        <w:rPr>
          <w:rFonts w:ascii="仿宋" w:hAnsi="仿宋" w:eastAsia="仿宋" w:cs="仿宋"/>
          <w:szCs w:val="21"/>
        </w:rPr>
        <w:t>4</w:t>
      </w:r>
      <w:r>
        <w:rPr>
          <w:rFonts w:hint="eastAsia" w:ascii="仿宋" w:hAnsi="仿宋" w:eastAsia="仿宋" w:cs="仿宋"/>
          <w:szCs w:val="21"/>
        </w:rPr>
        <w:t>年</w:t>
      </w:r>
      <w:r>
        <w:rPr>
          <w:rFonts w:ascii="仿宋" w:hAnsi="仿宋" w:eastAsia="仿宋" w:cs="仿宋"/>
          <w:szCs w:val="21"/>
        </w:rPr>
        <w:t>4</w:t>
      </w:r>
      <w:r>
        <w:rPr>
          <w:rFonts w:hint="eastAsia" w:ascii="仿宋" w:hAnsi="仿宋" w:eastAsia="仿宋" w:cs="仿宋"/>
          <w:szCs w:val="21"/>
        </w:rPr>
        <w:t>月1</w:t>
      </w:r>
      <w:r>
        <w:rPr>
          <w:rFonts w:ascii="仿宋" w:hAnsi="仿宋" w:eastAsia="仿宋" w:cs="仿宋"/>
          <w:szCs w:val="21"/>
        </w:rPr>
        <w:t>7</w:t>
      </w:r>
      <w:r>
        <w:rPr>
          <w:rFonts w:hint="eastAsia" w:ascii="仿宋" w:hAnsi="仿宋" w:eastAsia="仿宋" w:cs="仿宋"/>
          <w:szCs w:val="21"/>
        </w:rPr>
        <w:t>日，经中国香料香精化妆品工业协会初审并征求行业专家立项论证和审核，《</w:t>
      </w:r>
      <w:r>
        <w:rPr>
          <w:rFonts w:ascii="仿宋" w:hAnsi="仿宋" w:eastAsia="仿宋" w:cs="仿宋"/>
          <w:szCs w:val="21"/>
        </w:rPr>
        <w:t>化妆品中四氢甲基嘧啶羧酸含量的检验方法</w:t>
      </w:r>
      <w:r>
        <w:rPr>
          <w:rFonts w:hint="eastAsia" w:ascii="仿宋" w:hAnsi="仿宋" w:eastAsia="仿宋" w:cs="仿宋"/>
          <w:szCs w:val="21"/>
        </w:rPr>
        <w:t>》团体标准正式获批立项，并在协会官方网站进行了为期15个工作日的公示。</w:t>
      </w:r>
    </w:p>
    <w:p w14:paraId="4A005207">
      <w:pPr>
        <w:spacing w:line="360" w:lineRule="auto"/>
        <w:ind w:firstLine="420" w:firstLineChars="200"/>
        <w:rPr>
          <w:rFonts w:ascii="仿宋" w:hAnsi="仿宋" w:eastAsia="仿宋" w:cs="仿宋"/>
          <w:szCs w:val="21"/>
        </w:rPr>
      </w:pPr>
      <w:r>
        <w:rPr>
          <w:rFonts w:hint="eastAsia" w:ascii="仿宋" w:hAnsi="仿宋" w:eastAsia="仿宋" w:cs="仿宋"/>
          <w:szCs w:val="21"/>
        </w:rPr>
        <w:t>2</w:t>
      </w:r>
      <w:r>
        <w:rPr>
          <w:rFonts w:ascii="仿宋" w:hAnsi="仿宋" w:eastAsia="仿宋" w:cs="仿宋"/>
          <w:szCs w:val="21"/>
        </w:rPr>
        <w:t>024</w:t>
      </w:r>
      <w:r>
        <w:rPr>
          <w:rFonts w:hint="eastAsia" w:ascii="仿宋" w:hAnsi="仿宋" w:eastAsia="仿宋" w:cs="仿宋"/>
          <w:szCs w:val="21"/>
        </w:rPr>
        <w:t>年4月</w:t>
      </w:r>
      <w:r>
        <w:rPr>
          <w:rFonts w:ascii="仿宋" w:hAnsi="仿宋" w:eastAsia="仿宋" w:cs="仿宋"/>
          <w:szCs w:val="21"/>
        </w:rPr>
        <w:t>-12</w:t>
      </w:r>
      <w:r>
        <w:rPr>
          <w:rFonts w:hint="eastAsia" w:ascii="仿宋" w:hAnsi="仿宋" w:eastAsia="仿宋" w:cs="仿宋"/>
          <w:szCs w:val="21"/>
        </w:rPr>
        <w:t>月，湖南水羊化妆品制造有限公司经过文献查阅，资料整理，实验条件摸索，初步形成《</w:t>
      </w:r>
      <w:r>
        <w:rPr>
          <w:rFonts w:ascii="仿宋" w:hAnsi="仿宋" w:eastAsia="仿宋" w:cs="仿宋"/>
          <w:szCs w:val="21"/>
        </w:rPr>
        <w:t>化妆品</w:t>
      </w:r>
      <w:r>
        <w:rPr>
          <w:rFonts w:hint="eastAsia" w:ascii="仿宋" w:hAnsi="仿宋" w:eastAsia="仿宋" w:cs="仿宋"/>
          <w:szCs w:val="21"/>
        </w:rPr>
        <w:t>中四氢甲基嘧啶羧酸的检验方法</w:t>
      </w:r>
      <w:r>
        <w:rPr>
          <w:rFonts w:ascii="仿宋" w:hAnsi="仿宋" w:eastAsia="仿宋" w:cs="仿宋"/>
          <w:szCs w:val="21"/>
        </w:rPr>
        <w:t>》</w:t>
      </w:r>
      <w:r>
        <w:rPr>
          <w:rFonts w:hint="eastAsia" w:ascii="仿宋" w:hAnsi="仿宋" w:eastAsia="仿宋" w:cs="仿宋"/>
          <w:szCs w:val="21"/>
        </w:rPr>
        <w:t>初稿</w:t>
      </w:r>
      <w:r>
        <w:rPr>
          <w:rFonts w:ascii="仿宋" w:hAnsi="仿宋" w:eastAsia="仿宋" w:cs="仿宋"/>
          <w:szCs w:val="21"/>
        </w:rPr>
        <w:t>。</w:t>
      </w:r>
    </w:p>
    <w:p w14:paraId="0957BF85">
      <w:pPr>
        <w:spacing w:line="360" w:lineRule="auto"/>
        <w:ind w:firstLine="420" w:firstLineChars="200"/>
        <w:rPr>
          <w:rFonts w:ascii="仿宋" w:hAnsi="仿宋" w:eastAsia="仿宋" w:cs="仿宋"/>
          <w:szCs w:val="21"/>
        </w:rPr>
      </w:pPr>
      <w:r>
        <w:rPr>
          <w:rFonts w:hint="eastAsia" w:ascii="仿宋" w:hAnsi="仿宋" w:eastAsia="仿宋" w:cs="仿宋"/>
          <w:szCs w:val="21"/>
        </w:rPr>
        <w:t>202</w:t>
      </w:r>
      <w:r>
        <w:rPr>
          <w:rFonts w:ascii="仿宋" w:hAnsi="仿宋" w:eastAsia="仿宋" w:cs="仿宋"/>
          <w:szCs w:val="21"/>
        </w:rPr>
        <w:t>4</w:t>
      </w:r>
      <w:r>
        <w:rPr>
          <w:rFonts w:hint="eastAsia" w:ascii="仿宋" w:hAnsi="仿宋" w:eastAsia="仿宋" w:cs="仿宋"/>
          <w:szCs w:val="21"/>
        </w:rPr>
        <w:t>年</w:t>
      </w:r>
      <w:r>
        <w:rPr>
          <w:rFonts w:ascii="仿宋" w:hAnsi="仿宋" w:eastAsia="仿宋" w:cs="仿宋"/>
          <w:szCs w:val="21"/>
        </w:rPr>
        <w:t>12</w:t>
      </w:r>
      <w:r>
        <w:rPr>
          <w:rFonts w:hint="eastAsia" w:ascii="仿宋" w:hAnsi="仿宋" w:eastAsia="仿宋" w:cs="仿宋"/>
          <w:szCs w:val="21"/>
        </w:rPr>
        <w:t>月，湖南水羊化妆品制造有限公司作为立项单位，联合华熙生物科技股份有限公司、广州质量检验研究院</w:t>
      </w:r>
      <w:r>
        <w:rPr>
          <w:rFonts w:ascii="仿宋" w:hAnsi="仿宋" w:eastAsia="仿宋" w:cs="仿宋"/>
          <w:szCs w:val="21"/>
        </w:rPr>
        <w:t>成立团体标准起草小组。</w:t>
      </w:r>
    </w:p>
    <w:p w14:paraId="065B1727">
      <w:pPr>
        <w:spacing w:line="360" w:lineRule="auto"/>
        <w:ind w:firstLine="420" w:firstLineChars="200"/>
        <w:rPr>
          <w:rFonts w:ascii="仿宋" w:hAnsi="仿宋" w:eastAsia="仿宋" w:cs="仿宋"/>
          <w:szCs w:val="21"/>
        </w:rPr>
      </w:pPr>
      <w:r>
        <w:rPr>
          <w:rFonts w:ascii="仿宋" w:hAnsi="仿宋" w:eastAsia="仿宋" w:cs="仿宋"/>
          <w:szCs w:val="21"/>
        </w:rPr>
        <w:t>2025</w:t>
      </w:r>
      <w:r>
        <w:rPr>
          <w:rFonts w:hint="eastAsia" w:ascii="仿宋" w:hAnsi="仿宋" w:eastAsia="仿宋" w:cs="仿宋"/>
          <w:szCs w:val="21"/>
        </w:rPr>
        <w:t>年</w:t>
      </w:r>
      <w:r>
        <w:rPr>
          <w:rFonts w:ascii="仿宋" w:hAnsi="仿宋" w:eastAsia="仿宋" w:cs="仿宋"/>
          <w:szCs w:val="21"/>
        </w:rPr>
        <w:t>1</w:t>
      </w:r>
      <w:r>
        <w:rPr>
          <w:rFonts w:hint="eastAsia" w:ascii="仿宋" w:hAnsi="仿宋" w:eastAsia="仿宋" w:cs="仿宋"/>
          <w:szCs w:val="21"/>
        </w:rPr>
        <w:t>月-</w:t>
      </w:r>
      <w:r>
        <w:rPr>
          <w:rFonts w:ascii="仿宋" w:hAnsi="仿宋" w:eastAsia="仿宋" w:cs="仿宋"/>
          <w:szCs w:val="21"/>
        </w:rPr>
        <w:t>4</w:t>
      </w:r>
      <w:r>
        <w:rPr>
          <w:rFonts w:hint="eastAsia" w:ascii="仿宋" w:hAnsi="仿宋" w:eastAsia="仿宋" w:cs="仿宋"/>
          <w:szCs w:val="21"/>
        </w:rPr>
        <w:t>月，标准起草小组编制了工作计划，在充分整理研究数据、收集国内外相关法律法规的基础上，以华熙生物科技股份有限公司的专利《</w:t>
      </w:r>
      <w:r>
        <w:rPr>
          <w:rFonts w:ascii="仿宋" w:hAnsi="仿宋" w:eastAsia="仿宋" w:cs="仿宋"/>
          <w:szCs w:val="21"/>
        </w:rPr>
        <w:t>一种检测化妆品中依克多因的方法</w:t>
      </w:r>
      <w:r>
        <w:rPr>
          <w:rFonts w:hint="eastAsia" w:ascii="仿宋" w:hAnsi="仿宋" w:eastAsia="仿宋" w:cs="仿宋"/>
          <w:szCs w:val="21"/>
        </w:rPr>
        <w:t>》</w:t>
      </w:r>
      <w:r>
        <w:rPr>
          <w:rFonts w:ascii="仿宋" w:hAnsi="仿宋" w:eastAsia="仿宋" w:cs="仿宋"/>
          <w:szCs w:val="21"/>
        </w:rPr>
        <w:t>CN 111983076 B为方法依据，优化了色谱柱、流速等相关条件，经过</w:t>
      </w:r>
      <w:r>
        <w:rPr>
          <w:rFonts w:hint="eastAsia" w:ascii="仿宋" w:hAnsi="仿宋" w:eastAsia="仿宋" w:cs="仿宋"/>
          <w:szCs w:val="21"/>
        </w:rPr>
        <w:t>三家不同实验室验证及多次深入研讨，进一步形成《</w:t>
      </w:r>
      <w:r>
        <w:rPr>
          <w:rFonts w:ascii="仿宋" w:hAnsi="仿宋" w:eastAsia="仿宋" w:cs="仿宋"/>
          <w:szCs w:val="21"/>
        </w:rPr>
        <w:t>化妆品</w:t>
      </w:r>
      <w:r>
        <w:rPr>
          <w:rFonts w:hint="eastAsia" w:ascii="仿宋" w:hAnsi="仿宋" w:eastAsia="仿宋" w:cs="仿宋"/>
          <w:szCs w:val="21"/>
        </w:rPr>
        <w:t>中四氢甲基嘧啶羧酸的检验方法</w:t>
      </w:r>
      <w:r>
        <w:rPr>
          <w:rFonts w:ascii="仿宋" w:hAnsi="仿宋" w:eastAsia="仿宋" w:cs="仿宋"/>
          <w:szCs w:val="21"/>
        </w:rPr>
        <w:t>》征求意见稿。</w:t>
      </w:r>
    </w:p>
    <w:p w14:paraId="6F93F1BB">
      <w:pPr>
        <w:spacing w:line="360" w:lineRule="auto"/>
        <w:ind w:firstLine="420" w:firstLineChars="200"/>
        <w:rPr>
          <w:rFonts w:ascii="仿宋" w:hAnsi="仿宋" w:eastAsia="仿宋" w:cs="仿宋"/>
          <w:szCs w:val="21"/>
        </w:rPr>
      </w:pPr>
      <w:r>
        <w:rPr>
          <w:rFonts w:hint="eastAsia" w:ascii="仿宋" w:hAnsi="仿宋" w:eastAsia="仿宋" w:cs="仿宋"/>
          <w:szCs w:val="21"/>
        </w:rPr>
        <w:t>2</w:t>
      </w:r>
      <w:r>
        <w:rPr>
          <w:rFonts w:ascii="仿宋" w:hAnsi="仿宋" w:eastAsia="仿宋" w:cs="仿宋"/>
          <w:szCs w:val="21"/>
        </w:rPr>
        <w:t>025</w:t>
      </w:r>
      <w:r>
        <w:rPr>
          <w:rFonts w:hint="eastAsia" w:ascii="仿宋" w:hAnsi="仿宋" w:eastAsia="仿宋" w:cs="仿宋"/>
          <w:szCs w:val="21"/>
        </w:rPr>
        <w:t>年</w:t>
      </w:r>
      <w:r>
        <w:rPr>
          <w:rFonts w:ascii="仿宋" w:hAnsi="仿宋" w:eastAsia="仿宋" w:cs="仿宋"/>
          <w:szCs w:val="21"/>
        </w:rPr>
        <w:t>4</w:t>
      </w:r>
      <w:r>
        <w:rPr>
          <w:rFonts w:hint="eastAsia" w:ascii="仿宋" w:hAnsi="仿宋" w:eastAsia="仿宋" w:cs="仿宋"/>
          <w:szCs w:val="21"/>
        </w:rPr>
        <w:t>月</w:t>
      </w:r>
      <w:r>
        <w:rPr>
          <w:rFonts w:ascii="仿宋" w:hAnsi="仿宋" w:eastAsia="仿宋" w:cs="仿宋"/>
          <w:szCs w:val="21"/>
        </w:rPr>
        <w:t>-7</w:t>
      </w:r>
      <w:r>
        <w:rPr>
          <w:rFonts w:hint="eastAsia" w:ascii="仿宋" w:hAnsi="仿宋" w:eastAsia="仿宋" w:cs="仿宋"/>
          <w:szCs w:val="21"/>
        </w:rPr>
        <w:t>月，标准起草小组按计划完成了《</w:t>
      </w:r>
      <w:r>
        <w:rPr>
          <w:rFonts w:ascii="仿宋" w:hAnsi="仿宋" w:eastAsia="仿宋" w:cs="仿宋"/>
          <w:szCs w:val="21"/>
        </w:rPr>
        <w:t>化妆品</w:t>
      </w:r>
      <w:r>
        <w:rPr>
          <w:rFonts w:hint="eastAsia" w:ascii="仿宋" w:hAnsi="仿宋" w:eastAsia="仿宋" w:cs="仿宋"/>
          <w:szCs w:val="21"/>
        </w:rPr>
        <w:t>中四氢甲基嘧啶羧酸的检验方法</w:t>
      </w:r>
      <w:r>
        <w:rPr>
          <w:rFonts w:ascii="仿宋" w:hAnsi="仿宋" w:eastAsia="仿宋" w:cs="仿宋"/>
          <w:szCs w:val="21"/>
        </w:rPr>
        <w:t>》</w:t>
      </w:r>
      <w:r>
        <w:rPr>
          <w:rFonts w:hint="eastAsia" w:ascii="仿宋" w:hAnsi="仿宋" w:eastAsia="仿宋" w:cs="仿宋"/>
          <w:szCs w:val="21"/>
        </w:rPr>
        <w:t>的方法学验证工作和数据整理，编制形成了《</w:t>
      </w:r>
      <w:r>
        <w:rPr>
          <w:rFonts w:ascii="仿宋" w:hAnsi="仿宋" w:eastAsia="仿宋" w:cs="仿宋"/>
          <w:szCs w:val="21"/>
        </w:rPr>
        <w:t>化妆品</w:t>
      </w:r>
      <w:r>
        <w:rPr>
          <w:rFonts w:hint="eastAsia" w:ascii="仿宋" w:hAnsi="仿宋" w:eastAsia="仿宋" w:cs="仿宋"/>
          <w:szCs w:val="21"/>
        </w:rPr>
        <w:t>中四氢甲基嘧啶羧酸的检验方法</w:t>
      </w:r>
      <w:r>
        <w:rPr>
          <w:rFonts w:ascii="仿宋" w:hAnsi="仿宋" w:eastAsia="仿宋" w:cs="仿宋"/>
          <w:szCs w:val="21"/>
        </w:rPr>
        <w:t>》</w:t>
      </w:r>
      <w:r>
        <w:rPr>
          <w:rFonts w:hint="eastAsia" w:ascii="仿宋" w:hAnsi="仿宋" w:eastAsia="仿宋" w:cs="仿宋"/>
          <w:szCs w:val="21"/>
        </w:rPr>
        <w:t>的编制说明。</w:t>
      </w:r>
    </w:p>
    <w:p w14:paraId="19AD867A">
      <w:pPr>
        <w:spacing w:line="360" w:lineRule="auto"/>
        <w:ind w:firstLine="420" w:firstLineChars="200"/>
        <w:rPr>
          <w:rFonts w:ascii="仿宋" w:hAnsi="仿宋" w:eastAsia="仿宋" w:cs="仿宋"/>
          <w:szCs w:val="21"/>
        </w:rPr>
      </w:pPr>
      <w:r>
        <w:rPr>
          <w:rFonts w:ascii="仿宋" w:hAnsi="仿宋" w:eastAsia="仿宋" w:cs="仿宋"/>
          <w:szCs w:val="21"/>
        </w:rPr>
        <w:t>2025</w:t>
      </w:r>
      <w:r>
        <w:rPr>
          <w:rFonts w:hint="eastAsia" w:ascii="仿宋" w:hAnsi="仿宋" w:eastAsia="仿宋" w:cs="仿宋"/>
          <w:szCs w:val="21"/>
        </w:rPr>
        <w:t>年7</w:t>
      </w:r>
      <w:r>
        <w:rPr>
          <w:rFonts w:ascii="仿宋" w:hAnsi="仿宋" w:eastAsia="仿宋" w:cs="仿宋"/>
          <w:szCs w:val="21"/>
        </w:rPr>
        <w:t>-9</w:t>
      </w:r>
      <w:r>
        <w:rPr>
          <w:rFonts w:hint="eastAsia" w:ascii="仿宋" w:hAnsi="仿宋" w:eastAsia="仿宋" w:cs="仿宋"/>
          <w:szCs w:val="21"/>
        </w:rPr>
        <w:t>月，整理修改《</w:t>
      </w:r>
      <w:r>
        <w:rPr>
          <w:rFonts w:ascii="仿宋" w:hAnsi="仿宋" w:eastAsia="仿宋" w:cs="仿宋"/>
          <w:szCs w:val="21"/>
        </w:rPr>
        <w:t>化妆品</w:t>
      </w:r>
      <w:r>
        <w:rPr>
          <w:rFonts w:hint="eastAsia" w:ascii="仿宋" w:hAnsi="仿宋" w:eastAsia="仿宋" w:cs="仿宋"/>
          <w:szCs w:val="21"/>
        </w:rPr>
        <w:t>中四氢甲基嘧啶羧酸的检验方法</w:t>
      </w:r>
      <w:r>
        <w:rPr>
          <w:rFonts w:ascii="仿宋" w:hAnsi="仿宋" w:eastAsia="仿宋" w:cs="仿宋"/>
          <w:szCs w:val="21"/>
        </w:rPr>
        <w:t>》</w:t>
      </w:r>
      <w:r>
        <w:rPr>
          <w:rFonts w:hint="eastAsia" w:ascii="仿宋" w:hAnsi="仿宋" w:eastAsia="仿宋" w:cs="仿宋"/>
          <w:szCs w:val="21"/>
        </w:rPr>
        <w:t>及《</w:t>
      </w:r>
      <w:r>
        <w:rPr>
          <w:rFonts w:ascii="仿宋" w:hAnsi="仿宋" w:eastAsia="仿宋" w:cs="仿宋"/>
          <w:szCs w:val="21"/>
        </w:rPr>
        <w:t>化妆品</w:t>
      </w:r>
      <w:r>
        <w:rPr>
          <w:rFonts w:hint="eastAsia" w:ascii="仿宋" w:hAnsi="仿宋" w:eastAsia="仿宋" w:cs="仿宋"/>
          <w:szCs w:val="21"/>
        </w:rPr>
        <w:t>中四氢甲基嘧啶羧酸的检验方法</w:t>
      </w:r>
      <w:r>
        <w:rPr>
          <w:rFonts w:ascii="仿宋" w:hAnsi="仿宋" w:eastAsia="仿宋" w:cs="仿宋"/>
          <w:szCs w:val="21"/>
        </w:rPr>
        <w:t>》</w:t>
      </w:r>
      <w:r>
        <w:rPr>
          <w:rFonts w:hint="eastAsia" w:ascii="仿宋" w:hAnsi="仿宋" w:eastAsia="仿宋" w:cs="仿宋"/>
          <w:szCs w:val="21"/>
        </w:rPr>
        <w:t>的编制说明，定稿。已获得华熙生物科技股份有限公司专利《</w:t>
      </w:r>
      <w:r>
        <w:rPr>
          <w:rFonts w:ascii="仿宋" w:hAnsi="仿宋" w:eastAsia="仿宋" w:cs="仿宋"/>
          <w:szCs w:val="21"/>
        </w:rPr>
        <w:t>一种检测化妆品中依克多因的方法</w:t>
      </w:r>
      <w:r>
        <w:rPr>
          <w:rFonts w:hint="eastAsia" w:ascii="仿宋" w:hAnsi="仿宋" w:eastAsia="仿宋" w:cs="仿宋"/>
          <w:szCs w:val="21"/>
        </w:rPr>
        <w:t>》的实施许可声明。</w:t>
      </w:r>
    </w:p>
    <w:p w14:paraId="310CAD65">
      <w:pPr>
        <w:spacing w:line="360" w:lineRule="auto"/>
        <w:ind w:firstLine="420" w:firstLineChars="200"/>
        <w:rPr>
          <w:rFonts w:ascii="仿宋" w:hAnsi="仿宋" w:eastAsia="仿宋" w:cs="仿宋"/>
          <w:szCs w:val="21"/>
        </w:rPr>
      </w:pPr>
      <w:r>
        <w:rPr>
          <w:rFonts w:hint="eastAsia" w:ascii="仿宋" w:hAnsi="仿宋" w:eastAsia="仿宋" w:cs="仿宋"/>
          <w:szCs w:val="21"/>
        </w:rPr>
        <w:t>本标准由湖南水羊化妆品制造有限公司主持起草，华熙生物科技股份有限公司和广州质量检验研究院协作起草和复核。</w:t>
      </w:r>
    </w:p>
    <w:p w14:paraId="4E64C293">
      <w:pPr>
        <w:spacing w:line="360" w:lineRule="auto"/>
        <w:ind w:firstLine="420" w:firstLineChars="200"/>
        <w:rPr>
          <w:rFonts w:ascii="仿宋" w:hAnsi="仿宋" w:eastAsia="仿宋" w:cs="仿宋"/>
          <w:szCs w:val="21"/>
        </w:rPr>
      </w:pPr>
      <w:r>
        <w:rPr>
          <w:rFonts w:hint="eastAsia" w:ascii="仿宋" w:hAnsi="仿宋" w:eastAsia="仿宋" w:cs="仿宋"/>
          <w:szCs w:val="21"/>
        </w:rPr>
        <w:t>本标准起草过程中对市场上的产品进行收集，根据目前化妆品用原料的国内外相关标准要求，通过试验条件的摸索、方法建设及验证工作，确定该标准的检验方法和技术指标。联合华熙生物科技股份有限公司和广州质量检验研究院协作进行了方法验证工作，结果显示检验方法和技术指标具有可行性。</w:t>
      </w:r>
    </w:p>
    <w:p w14:paraId="0A8954CD">
      <w:pPr>
        <w:spacing w:line="360" w:lineRule="auto"/>
        <w:ind w:firstLine="420" w:firstLineChars="200"/>
        <w:rPr>
          <w:rFonts w:ascii="仿宋" w:hAnsi="仿宋" w:eastAsia="仿宋" w:cs="仿宋"/>
          <w:szCs w:val="21"/>
        </w:rPr>
      </w:pPr>
      <w:r>
        <w:rPr>
          <w:rFonts w:hint="eastAsia" w:ascii="仿宋" w:hAnsi="仿宋" w:eastAsia="仿宋" w:cs="仿宋"/>
          <w:szCs w:val="21"/>
        </w:rPr>
        <w:t>目前起草工作组确定该标准的基本框架，包括：</w:t>
      </w:r>
      <w:r>
        <w:rPr>
          <w:rFonts w:ascii="仿宋" w:hAnsi="仿宋" w:eastAsia="仿宋" w:cs="仿宋"/>
          <w:szCs w:val="21"/>
        </w:rPr>
        <w:t>化妆品中四氢甲基嘧啶羧酸含量的检验方法</w:t>
      </w:r>
      <w:r>
        <w:rPr>
          <w:rFonts w:hint="eastAsia" w:ascii="仿宋" w:hAnsi="仿宋" w:eastAsia="仿宋" w:cs="仿宋"/>
          <w:szCs w:val="21"/>
        </w:rPr>
        <w:t>的适用范围、试验方法及方法学验证等内容，形成标准草案的基本框架，于202</w:t>
      </w:r>
      <w:r>
        <w:rPr>
          <w:rFonts w:ascii="仿宋" w:hAnsi="仿宋" w:eastAsia="仿宋" w:cs="仿宋"/>
          <w:szCs w:val="21"/>
        </w:rPr>
        <w:t>5</w:t>
      </w:r>
      <w:r>
        <w:rPr>
          <w:rFonts w:hint="eastAsia" w:ascii="仿宋" w:hAnsi="仿宋" w:eastAsia="仿宋" w:cs="仿宋"/>
          <w:szCs w:val="21"/>
        </w:rPr>
        <w:t>年11月初完成征求意见稿。</w:t>
      </w:r>
    </w:p>
    <w:p w14:paraId="5186F651">
      <w:pPr>
        <w:widowControl/>
        <w:spacing w:line="360" w:lineRule="auto"/>
        <w:jc w:val="left"/>
        <w:rPr>
          <w:rFonts w:ascii="Times New Roman" w:hAnsi="Times New Roman" w:eastAsia="宋体"/>
          <w:b/>
          <w:bCs/>
          <w:sz w:val="24"/>
          <w:szCs w:val="24"/>
        </w:rPr>
      </w:pPr>
      <w:r>
        <w:rPr>
          <w:rFonts w:hint="eastAsia" w:ascii="Times New Roman" w:hAnsi="Times New Roman" w:eastAsia="宋体"/>
          <w:b/>
          <w:bCs/>
          <w:sz w:val="24"/>
          <w:szCs w:val="24"/>
        </w:rPr>
        <w:t>二、与我国有关法律法规和其他标准的关系</w:t>
      </w:r>
    </w:p>
    <w:p w14:paraId="41A463F5">
      <w:pPr>
        <w:pStyle w:val="10"/>
        <w:shd w:val="clear" w:color="auto" w:fill="FFFFFF"/>
        <w:spacing w:before="0" w:beforeAutospacing="0" w:after="0" w:afterAutospacing="0" w:line="360" w:lineRule="auto"/>
        <w:ind w:firstLine="420" w:firstLineChars="200"/>
        <w:rPr>
          <w:rFonts w:ascii="仿宋" w:hAnsi="仿宋" w:eastAsia="仿宋" w:cs="仿宋"/>
          <w:b/>
          <w:bCs/>
          <w:sz w:val="21"/>
          <w:szCs w:val="21"/>
        </w:rPr>
      </w:pPr>
      <w:r>
        <w:rPr>
          <w:rFonts w:hint="eastAsia" w:ascii="仿宋" w:hAnsi="仿宋" w:eastAsia="仿宋" w:cs="仿宋"/>
          <w:sz w:val="21"/>
          <w:szCs w:val="21"/>
        </w:rPr>
        <w:t>该标准及专利参考来自华熙生物科技股份有限公司；目前，</w:t>
      </w:r>
      <w:r>
        <w:rPr>
          <w:rFonts w:ascii="仿宋" w:hAnsi="仿宋" w:eastAsia="仿宋" w:cs="仿宋"/>
          <w:sz w:val="21"/>
          <w:szCs w:val="21"/>
        </w:rPr>
        <w:t>化妆品中四氢甲基嘧啶羧酸含量的检验方法</w:t>
      </w:r>
      <w:r>
        <w:rPr>
          <w:rFonts w:hint="eastAsia" w:ascii="仿宋" w:hAnsi="仿宋" w:eastAsia="仿宋" w:cs="仿宋"/>
          <w:sz w:val="21"/>
          <w:szCs w:val="21"/>
        </w:rPr>
        <w:t>除专利外，还没有公开的国家标准、行业标准或团体标准。本标准指标参照《关于印发化妆品中禁用物质和限用物质检测方法验证技术规范的通知》</w:t>
      </w:r>
      <w:r>
        <w:rPr>
          <w:rFonts w:ascii="仿宋" w:hAnsi="仿宋" w:eastAsia="仿宋" w:cs="仿宋"/>
          <w:sz w:val="21"/>
          <w:szCs w:val="21"/>
        </w:rPr>
        <w:t>(国食药监许[2010]455号)</w:t>
      </w:r>
      <w:r>
        <w:rPr>
          <w:rFonts w:hint="eastAsia" w:ascii="仿宋" w:hAnsi="仿宋" w:eastAsia="仿宋" w:cs="仿宋"/>
          <w:sz w:val="21"/>
          <w:szCs w:val="21"/>
        </w:rPr>
        <w:t>和《化妆品安全技术规范》（2015版），结合行业其他化妆品原料标准进行编制。</w:t>
      </w:r>
    </w:p>
    <w:p w14:paraId="5A9B825F">
      <w:pPr>
        <w:widowControl/>
        <w:spacing w:line="360" w:lineRule="auto"/>
        <w:jc w:val="left"/>
        <w:rPr>
          <w:rFonts w:ascii="Times New Roman" w:hAnsi="Times New Roman" w:eastAsia="宋体"/>
          <w:b/>
          <w:bCs/>
          <w:sz w:val="24"/>
          <w:szCs w:val="24"/>
        </w:rPr>
      </w:pPr>
      <w:r>
        <w:rPr>
          <w:rFonts w:hint="eastAsia" w:ascii="Times New Roman" w:hAnsi="Times New Roman" w:eastAsia="宋体"/>
          <w:b/>
          <w:bCs/>
          <w:sz w:val="24"/>
          <w:szCs w:val="24"/>
        </w:rPr>
        <w:t>三、国外有关法律、法规和标准情况的说明</w:t>
      </w:r>
    </w:p>
    <w:p w14:paraId="1AE56495">
      <w:pPr>
        <w:pStyle w:val="10"/>
        <w:shd w:val="clear" w:color="auto" w:fill="FFFFFF"/>
        <w:spacing w:before="0" w:beforeAutospacing="0" w:after="0" w:afterAutospacing="0" w:line="360" w:lineRule="auto"/>
        <w:ind w:firstLine="420" w:firstLineChars="200"/>
        <w:rPr>
          <w:rFonts w:ascii="仿宋" w:hAnsi="仿宋" w:eastAsia="仿宋" w:cs="仿宋"/>
          <w:sz w:val="21"/>
          <w:szCs w:val="21"/>
        </w:rPr>
      </w:pPr>
      <w:bookmarkStart w:id="0" w:name="OLE_LINK9"/>
      <w:r>
        <w:rPr>
          <w:rFonts w:hint="eastAsia" w:ascii="仿宋" w:hAnsi="仿宋" w:eastAsia="仿宋" w:cs="仿宋"/>
          <w:sz w:val="21"/>
          <w:szCs w:val="21"/>
        </w:rPr>
        <w:t>目前，</w:t>
      </w:r>
      <w:r>
        <w:rPr>
          <w:rFonts w:ascii="仿宋" w:hAnsi="仿宋" w:eastAsia="仿宋" w:cs="仿宋"/>
          <w:sz w:val="21"/>
          <w:szCs w:val="21"/>
        </w:rPr>
        <w:t>化妆品中四氢甲基嘧啶羧酸含量的检验方法</w:t>
      </w:r>
      <w:r>
        <w:rPr>
          <w:rFonts w:hint="eastAsia" w:ascii="仿宋" w:hAnsi="仿宋" w:eastAsia="仿宋" w:cs="仿宋"/>
          <w:sz w:val="21"/>
          <w:szCs w:val="21"/>
        </w:rPr>
        <w:t>国外没有公开的标准。</w:t>
      </w:r>
    </w:p>
    <w:bookmarkEnd w:id="0"/>
    <w:p w14:paraId="6D507B72">
      <w:pPr>
        <w:spacing w:line="360" w:lineRule="auto"/>
        <w:rPr>
          <w:rFonts w:ascii="Times New Roman" w:hAnsi="Times New Roman" w:eastAsia="宋体"/>
          <w:sz w:val="24"/>
          <w:szCs w:val="24"/>
        </w:rPr>
      </w:pPr>
      <w:r>
        <w:rPr>
          <w:rFonts w:ascii="Times New Roman" w:hAnsi="Times New Roman" w:eastAsia="宋体"/>
          <w:b/>
          <w:bCs/>
          <w:sz w:val="24"/>
          <w:szCs w:val="24"/>
        </w:rPr>
        <w:t>四、标准的制（修）订与起草原则</w:t>
      </w:r>
    </w:p>
    <w:p w14:paraId="439CC404">
      <w:pPr>
        <w:spacing w:line="360" w:lineRule="auto"/>
        <w:ind w:firstLine="420" w:firstLineChars="200"/>
        <w:rPr>
          <w:rFonts w:ascii="仿宋" w:hAnsi="仿宋" w:eastAsia="仿宋" w:cs="仿宋"/>
          <w:szCs w:val="21"/>
        </w:rPr>
      </w:pPr>
      <w:r>
        <w:rPr>
          <w:rFonts w:hint="eastAsia" w:ascii="仿宋" w:hAnsi="仿宋" w:eastAsia="仿宋" w:cs="仿宋"/>
          <w:kern w:val="0"/>
          <w:szCs w:val="21"/>
        </w:rPr>
        <w:t>本标准的制定符合产业发展的原则，本着先进性、科学性、合理性和可操作性的原则以及标准的目标、统一性、协调性、适用性、一致性和规范性原则来进行本标准的制定工作。</w:t>
      </w:r>
    </w:p>
    <w:p w14:paraId="7018B42D">
      <w:pPr>
        <w:spacing w:line="360" w:lineRule="auto"/>
        <w:ind w:firstLine="420" w:firstLineChars="200"/>
        <w:rPr>
          <w:rFonts w:ascii="仿宋" w:hAnsi="仿宋" w:eastAsia="仿宋" w:cs="仿宋"/>
          <w:szCs w:val="21"/>
        </w:rPr>
      </w:pPr>
      <w:r>
        <w:rPr>
          <w:rFonts w:hint="eastAsia" w:ascii="仿宋" w:hAnsi="仿宋" w:eastAsia="仿宋" w:cs="仿宋"/>
          <w:szCs w:val="21"/>
        </w:rPr>
        <w:t>本标准起草过程中，主要依据《GB/T 1.1标准化工作导则 第1部分:标准化文件的结构和起草规则》进行编写。本标准制定过程中，主要参考了以下标准或文件：</w:t>
      </w:r>
    </w:p>
    <w:p w14:paraId="7EC523AC">
      <w:pPr>
        <w:spacing w:line="360" w:lineRule="auto"/>
        <w:ind w:firstLine="210" w:firstLineChars="100"/>
        <w:rPr>
          <w:rFonts w:ascii="仿宋" w:hAnsi="仿宋" w:eastAsia="仿宋" w:cs="仿宋"/>
          <w:szCs w:val="21"/>
        </w:rPr>
      </w:pPr>
      <w:r>
        <w:rPr>
          <w:rFonts w:hint="eastAsia" w:ascii="仿宋" w:hAnsi="仿宋" w:eastAsia="仿宋" w:cs="仿宋"/>
          <w:szCs w:val="21"/>
        </w:rPr>
        <w:t>《关于印发化妆品中禁用物质和限用物质检测方法验证技术规范的通知》</w:t>
      </w:r>
      <w:r>
        <w:rPr>
          <w:rFonts w:ascii="仿宋" w:hAnsi="仿宋" w:eastAsia="仿宋" w:cs="仿宋"/>
          <w:szCs w:val="21"/>
        </w:rPr>
        <w:t>(国食药监许[2010]455号)</w:t>
      </w:r>
    </w:p>
    <w:p w14:paraId="6BF66B1A">
      <w:pPr>
        <w:pStyle w:val="2"/>
        <w:ind w:firstLine="199" w:firstLineChars="95"/>
        <w:rPr>
          <w:lang w:val="en-US"/>
        </w:rPr>
      </w:pPr>
      <w:r>
        <w:rPr>
          <w:rFonts w:hint="eastAsia" w:ascii="仿宋" w:hAnsi="仿宋" w:eastAsia="仿宋" w:cs="仿宋"/>
          <w:sz w:val="21"/>
          <w:szCs w:val="21"/>
          <w:lang w:val="en-US"/>
        </w:rPr>
        <w:t>《化妆品安全技术规范》</w:t>
      </w:r>
      <w:r>
        <w:rPr>
          <w:rFonts w:hint="eastAsia" w:ascii="仿宋" w:hAnsi="仿宋" w:eastAsia="仿宋" w:cs="仿宋"/>
          <w:sz w:val="21"/>
          <w:szCs w:val="21"/>
        </w:rPr>
        <w:t>（</w:t>
      </w:r>
      <w:r>
        <w:rPr>
          <w:rFonts w:hint="eastAsia" w:ascii="仿宋" w:hAnsi="仿宋" w:eastAsia="仿宋" w:cs="仿宋"/>
          <w:sz w:val="21"/>
          <w:szCs w:val="21"/>
          <w:lang w:val="en-US"/>
        </w:rPr>
        <w:t>2015版</w:t>
      </w:r>
      <w:r>
        <w:rPr>
          <w:rFonts w:hint="eastAsia" w:ascii="仿宋" w:hAnsi="仿宋" w:eastAsia="仿宋" w:cs="仿宋"/>
          <w:sz w:val="21"/>
          <w:szCs w:val="21"/>
        </w:rPr>
        <w:t>）</w:t>
      </w:r>
    </w:p>
    <w:p w14:paraId="6777BAC1">
      <w:pPr>
        <w:spacing w:line="360" w:lineRule="auto"/>
        <w:ind w:firstLine="210" w:firstLineChars="100"/>
        <w:rPr>
          <w:rFonts w:ascii="仿宋" w:hAnsi="仿宋" w:eastAsia="仿宋" w:cs="仿宋"/>
          <w:szCs w:val="21"/>
        </w:rPr>
      </w:pPr>
      <w:r>
        <w:rPr>
          <w:rFonts w:hint="eastAsia" w:ascii="仿宋" w:hAnsi="仿宋" w:eastAsia="仿宋" w:cs="仿宋"/>
          <w:szCs w:val="21"/>
        </w:rPr>
        <w:t>《中华人民共和国药典》（2020版）</w:t>
      </w:r>
    </w:p>
    <w:p w14:paraId="7744771F">
      <w:pPr>
        <w:spacing w:line="360" w:lineRule="auto"/>
        <w:ind w:firstLine="210" w:firstLineChars="100"/>
        <w:rPr>
          <w:rFonts w:ascii="仿宋" w:hAnsi="仿宋" w:eastAsia="仿宋" w:cs="仿宋"/>
          <w:szCs w:val="21"/>
        </w:rPr>
      </w:pPr>
      <w:r>
        <w:rPr>
          <w:rFonts w:hint="eastAsia" w:ascii="仿宋" w:hAnsi="仿宋" w:eastAsia="仿宋" w:cs="仿宋"/>
          <w:szCs w:val="21"/>
        </w:rPr>
        <w:t>《一种检测化妆品中依克多因的方法》唐毓萍等，</w:t>
      </w:r>
      <w:r>
        <w:rPr>
          <w:rFonts w:ascii="仿宋" w:hAnsi="仿宋" w:eastAsia="仿宋" w:cs="仿宋"/>
          <w:szCs w:val="21"/>
        </w:rPr>
        <w:t>CN 111983076 B</w:t>
      </w:r>
    </w:p>
    <w:p w14:paraId="189AC784">
      <w:pPr>
        <w:widowControl/>
        <w:jc w:val="left"/>
        <w:rPr>
          <w:rFonts w:ascii="Times New Roman" w:hAnsi="Times New Roman" w:eastAsia="宋体"/>
          <w:sz w:val="24"/>
          <w:szCs w:val="24"/>
        </w:rPr>
      </w:pPr>
      <w:r>
        <w:br w:type="page"/>
      </w:r>
    </w:p>
    <w:p w14:paraId="04E4D21F">
      <w:pPr>
        <w:pStyle w:val="3"/>
        <w:widowControl w:val="0"/>
        <w:numPr>
          <w:ilvl w:val="0"/>
          <w:numId w:val="2"/>
        </w:numPr>
        <w:tabs>
          <w:tab w:val="left" w:pos="531"/>
        </w:tabs>
        <w:autoSpaceDE w:val="0"/>
        <w:autoSpaceDN w:val="0"/>
        <w:spacing w:before="0" w:beforeAutospacing="0" w:after="0" w:afterAutospacing="0" w:line="360" w:lineRule="auto"/>
        <w:rPr>
          <w:rFonts w:ascii="Times New Roman" w:hAnsi="Times New Roman" w:cs="Times New Roman"/>
          <w:sz w:val="24"/>
          <w:szCs w:val="24"/>
        </w:rPr>
      </w:pPr>
      <w:r>
        <w:rPr>
          <w:rFonts w:ascii="Times New Roman" w:hAnsi="Times New Roman" w:cs="Times New Roman"/>
          <w:sz w:val="24"/>
          <w:szCs w:val="24"/>
        </w:rPr>
        <w:t>确定各项技术内容（如技术指标、参数、公式、试验方法、检验规则等）的依据（与国际相关标准的对比情况，与国际标准不一致的，应当提供科学依据）</w:t>
      </w:r>
    </w:p>
    <w:p w14:paraId="595DA775">
      <w:pPr>
        <w:pStyle w:val="3"/>
        <w:widowControl w:val="0"/>
        <w:tabs>
          <w:tab w:val="left" w:pos="531"/>
        </w:tabs>
        <w:autoSpaceDE w:val="0"/>
        <w:autoSpaceDN w:val="0"/>
        <w:spacing w:before="0" w:beforeAutospacing="0" w:after="0" w:afterAutospacing="0" w:line="360" w:lineRule="auto"/>
        <w:rPr>
          <w:sz w:val="24"/>
          <w:szCs w:val="24"/>
        </w:rPr>
      </w:pPr>
      <w:r>
        <w:rPr>
          <w:rFonts w:hint="eastAsia" w:ascii="仿宋" w:hAnsi="仿宋" w:eastAsia="仿宋" w:cs="仿宋"/>
          <w:sz w:val="21"/>
          <w:szCs w:val="21"/>
        </w:rPr>
        <w:t>1.各项技术指标要求</w:t>
      </w:r>
    </w:p>
    <w:tbl>
      <w:tblPr>
        <w:tblStyle w:val="13"/>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1129"/>
        <w:gridCol w:w="2127"/>
        <w:gridCol w:w="3969"/>
        <w:gridCol w:w="1071"/>
      </w:tblGrid>
      <w:tr w14:paraId="472EE1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29" w:type="dxa"/>
            <w:vAlign w:val="center"/>
          </w:tcPr>
          <w:p w14:paraId="78EE162E">
            <w:pPr>
              <w:snapToGrid w:val="0"/>
              <w:jc w:val="center"/>
              <w:rPr>
                <w:rFonts w:ascii="仿宋" w:hAnsi="仿宋" w:eastAsia="仿宋" w:cs="仿宋"/>
                <w:sz w:val="18"/>
                <w:szCs w:val="18"/>
              </w:rPr>
            </w:pPr>
            <w:r>
              <w:rPr>
                <w:rFonts w:hint="eastAsia" w:ascii="仿宋" w:hAnsi="仿宋" w:eastAsia="仿宋" w:cs="仿宋"/>
                <w:sz w:val="18"/>
                <w:szCs w:val="18"/>
              </w:rPr>
              <w:t>指标</w:t>
            </w:r>
          </w:p>
        </w:tc>
        <w:tc>
          <w:tcPr>
            <w:tcW w:w="2127" w:type="dxa"/>
            <w:vAlign w:val="center"/>
          </w:tcPr>
          <w:p w14:paraId="60D5EB61">
            <w:pPr>
              <w:snapToGrid w:val="0"/>
              <w:jc w:val="center"/>
              <w:rPr>
                <w:rFonts w:ascii="仿宋" w:hAnsi="仿宋" w:eastAsia="仿宋" w:cs="仿宋"/>
                <w:sz w:val="18"/>
                <w:szCs w:val="18"/>
              </w:rPr>
            </w:pPr>
            <w:r>
              <w:rPr>
                <w:rFonts w:hint="eastAsia" w:ascii="仿宋" w:hAnsi="仿宋" w:eastAsia="仿宋" w:cs="仿宋"/>
                <w:sz w:val="18"/>
                <w:szCs w:val="18"/>
              </w:rPr>
              <w:t>本标准要求</w:t>
            </w:r>
          </w:p>
        </w:tc>
        <w:tc>
          <w:tcPr>
            <w:tcW w:w="3969" w:type="dxa"/>
            <w:vAlign w:val="center"/>
          </w:tcPr>
          <w:p w14:paraId="09B3CE12">
            <w:pPr>
              <w:snapToGrid w:val="0"/>
              <w:jc w:val="center"/>
              <w:rPr>
                <w:rFonts w:ascii="仿宋" w:hAnsi="仿宋" w:eastAsia="仿宋" w:cs="仿宋"/>
                <w:sz w:val="18"/>
                <w:szCs w:val="18"/>
              </w:rPr>
            </w:pPr>
            <w:r>
              <w:rPr>
                <w:rFonts w:hint="eastAsia" w:ascii="仿宋" w:hAnsi="仿宋" w:eastAsia="仿宋" w:cs="仿宋"/>
                <w:sz w:val="18"/>
                <w:szCs w:val="18"/>
              </w:rPr>
              <w:t>指标制定依据</w:t>
            </w:r>
          </w:p>
        </w:tc>
        <w:tc>
          <w:tcPr>
            <w:tcW w:w="1071" w:type="dxa"/>
            <w:vAlign w:val="center"/>
          </w:tcPr>
          <w:p w14:paraId="51F5363F">
            <w:pPr>
              <w:snapToGrid w:val="0"/>
              <w:jc w:val="center"/>
              <w:rPr>
                <w:rFonts w:ascii="仿宋" w:hAnsi="仿宋" w:eastAsia="仿宋" w:cs="仿宋"/>
                <w:sz w:val="18"/>
                <w:szCs w:val="18"/>
              </w:rPr>
            </w:pPr>
            <w:r>
              <w:rPr>
                <w:rFonts w:hint="eastAsia" w:ascii="仿宋" w:hAnsi="仿宋" w:eastAsia="仿宋" w:cs="仿宋"/>
                <w:sz w:val="18"/>
                <w:szCs w:val="18"/>
              </w:rPr>
              <w:t>依据名称</w:t>
            </w:r>
          </w:p>
        </w:tc>
      </w:tr>
      <w:tr w14:paraId="34A5C2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29" w:type="dxa"/>
            <w:vAlign w:val="center"/>
          </w:tcPr>
          <w:p w14:paraId="6C7DC66E">
            <w:pPr>
              <w:widowControl/>
              <w:jc w:val="left"/>
              <w:rPr>
                <w:rFonts w:ascii="仿宋" w:hAnsi="仿宋" w:eastAsia="仿宋" w:cs="仿宋"/>
                <w:sz w:val="18"/>
                <w:szCs w:val="18"/>
              </w:rPr>
            </w:pPr>
            <w:r>
              <w:rPr>
                <w:rFonts w:hint="eastAsia" w:ascii="仿宋" w:hAnsi="仿宋" w:eastAsia="仿宋" w:cs="仿宋"/>
                <w:sz w:val="18"/>
                <w:szCs w:val="18"/>
              </w:rPr>
              <w:t>色谱柱</w:t>
            </w:r>
          </w:p>
        </w:tc>
        <w:tc>
          <w:tcPr>
            <w:tcW w:w="2127" w:type="dxa"/>
            <w:vAlign w:val="center"/>
          </w:tcPr>
          <w:p w14:paraId="30326811">
            <w:pPr>
              <w:widowControl/>
              <w:jc w:val="left"/>
              <w:rPr>
                <w:rFonts w:ascii="仿宋" w:hAnsi="仿宋" w:eastAsia="仿宋" w:cs="仿宋"/>
                <w:sz w:val="18"/>
                <w:szCs w:val="18"/>
              </w:rPr>
            </w:pPr>
            <w:r>
              <w:rPr>
                <w:rFonts w:ascii="仿宋" w:hAnsi="仿宋" w:eastAsia="仿宋" w:cs="仿宋"/>
                <w:sz w:val="18"/>
                <w:szCs w:val="18"/>
              </w:rPr>
              <w:t>SB-C18</w:t>
            </w:r>
            <w:r>
              <w:rPr>
                <w:rFonts w:hint="eastAsia" w:ascii="仿宋" w:hAnsi="仿宋" w:eastAsia="仿宋" w:cs="仿宋"/>
                <w:sz w:val="18"/>
                <w:szCs w:val="18"/>
              </w:rPr>
              <w:t>色谱柱</w:t>
            </w:r>
            <w:r>
              <w:rPr>
                <w:rFonts w:ascii="仿宋" w:hAnsi="仿宋" w:eastAsia="仿宋" w:cs="仿宋"/>
                <w:sz w:val="18"/>
                <w:szCs w:val="18"/>
              </w:rPr>
              <w:t>, 250mm×4.6mm，5 mm，或等效色谱柱</w:t>
            </w:r>
          </w:p>
        </w:tc>
        <w:tc>
          <w:tcPr>
            <w:tcW w:w="3969" w:type="dxa"/>
            <w:vAlign w:val="center"/>
          </w:tcPr>
          <w:p w14:paraId="18CF22A1">
            <w:pPr>
              <w:ind w:left="-34" w:leftChars="-17" w:hanging="2"/>
              <w:jc w:val="left"/>
              <w:rPr>
                <w:rFonts w:ascii="仿宋" w:hAnsi="仿宋" w:eastAsia="仿宋" w:cs="仿宋"/>
                <w:sz w:val="18"/>
                <w:szCs w:val="18"/>
              </w:rPr>
            </w:pPr>
            <w:r>
              <w:rPr>
                <w:rFonts w:hint="eastAsia" w:ascii="仿宋" w:hAnsi="仿宋" w:eastAsia="仿宋" w:cs="仿宋"/>
                <w:sz w:val="18"/>
                <w:szCs w:val="18"/>
              </w:rPr>
              <w:t>色谱柱选择：通过与柱长为2</w:t>
            </w:r>
            <w:r>
              <w:rPr>
                <w:rFonts w:ascii="仿宋" w:hAnsi="仿宋" w:eastAsia="仿宋" w:cs="仿宋"/>
                <w:sz w:val="18"/>
                <w:szCs w:val="18"/>
              </w:rPr>
              <w:t>50 mm</w:t>
            </w:r>
            <w:r>
              <w:rPr>
                <w:rFonts w:hint="eastAsia" w:ascii="仿宋" w:hAnsi="仿宋" w:eastAsia="仿宋" w:cs="仿宋"/>
                <w:sz w:val="18"/>
                <w:szCs w:val="18"/>
              </w:rPr>
              <w:t>氨基柱对比，C</w:t>
            </w:r>
            <w:r>
              <w:rPr>
                <w:rFonts w:ascii="仿宋" w:hAnsi="仿宋" w:eastAsia="仿宋" w:cs="仿宋"/>
                <w:sz w:val="18"/>
                <w:szCs w:val="18"/>
              </w:rPr>
              <w:t>18</w:t>
            </w:r>
            <w:r>
              <w:rPr>
                <w:rFonts w:hint="eastAsia" w:ascii="仿宋" w:hAnsi="仿宋" w:eastAsia="仿宋" w:cs="仿宋"/>
                <w:sz w:val="18"/>
                <w:szCs w:val="18"/>
              </w:rPr>
              <w:t>柱具有更好的分离度和普适性;与柱长为1</w:t>
            </w:r>
            <w:r>
              <w:rPr>
                <w:rFonts w:ascii="仿宋" w:hAnsi="仿宋" w:eastAsia="仿宋" w:cs="仿宋"/>
                <w:sz w:val="18"/>
                <w:szCs w:val="18"/>
              </w:rPr>
              <w:t>50 mmC18</w:t>
            </w:r>
            <w:r>
              <w:rPr>
                <w:rFonts w:hint="eastAsia" w:ascii="仿宋" w:hAnsi="仿宋" w:eastAsia="仿宋" w:cs="仿宋"/>
                <w:sz w:val="18"/>
                <w:szCs w:val="18"/>
              </w:rPr>
              <w:t>柱对比，保留时间更长，更有利于分离；与粒径2</w:t>
            </w:r>
            <w:r>
              <w:rPr>
                <w:rFonts w:ascii="仿宋" w:hAnsi="仿宋" w:eastAsia="仿宋" w:cs="仿宋"/>
                <w:sz w:val="18"/>
                <w:szCs w:val="18"/>
              </w:rPr>
              <w:t xml:space="preserve">.7 </w:t>
            </w:r>
            <w:r>
              <w:rPr>
                <w:rFonts w:hint="eastAsia" w:ascii="仿宋" w:hAnsi="仿宋" w:eastAsia="仿宋" w:cs="仿宋"/>
                <w:sz w:val="18"/>
                <w:szCs w:val="18"/>
              </w:rPr>
              <w:t>μm的C</w:t>
            </w:r>
            <w:r>
              <w:rPr>
                <w:rFonts w:ascii="仿宋" w:hAnsi="仿宋" w:eastAsia="仿宋" w:cs="仿宋"/>
                <w:sz w:val="18"/>
                <w:szCs w:val="18"/>
              </w:rPr>
              <w:t>18</w:t>
            </w:r>
            <w:r>
              <w:rPr>
                <w:rFonts w:hint="eastAsia" w:ascii="仿宋" w:hAnsi="仿宋" w:eastAsia="仿宋" w:cs="仿宋"/>
                <w:sz w:val="18"/>
                <w:szCs w:val="18"/>
              </w:rPr>
              <w:t>柱相对比，保留时间更长，且更具普适性和经济性。</w:t>
            </w:r>
          </w:p>
        </w:tc>
        <w:tc>
          <w:tcPr>
            <w:tcW w:w="1071" w:type="dxa"/>
            <w:vAlign w:val="center"/>
          </w:tcPr>
          <w:p w14:paraId="5D7034C8">
            <w:pPr>
              <w:ind w:left="-34" w:leftChars="-17" w:hanging="2"/>
              <w:jc w:val="left"/>
              <w:rPr>
                <w:rFonts w:ascii="仿宋" w:hAnsi="仿宋" w:eastAsia="仿宋" w:cs="仿宋"/>
                <w:sz w:val="18"/>
                <w:szCs w:val="18"/>
              </w:rPr>
            </w:pPr>
            <w:r>
              <w:rPr>
                <w:rFonts w:hint="eastAsia" w:ascii="仿宋" w:hAnsi="仿宋" w:eastAsia="仿宋" w:cs="宋体"/>
                <w:sz w:val="18"/>
                <w:szCs w:val="18"/>
              </w:rPr>
              <w:t>/</w:t>
            </w:r>
          </w:p>
        </w:tc>
      </w:tr>
      <w:tr w14:paraId="66D943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29" w:type="dxa"/>
            <w:vAlign w:val="center"/>
          </w:tcPr>
          <w:p w14:paraId="5628A2DB">
            <w:pPr>
              <w:widowControl/>
              <w:jc w:val="left"/>
              <w:rPr>
                <w:rFonts w:ascii="仿宋" w:hAnsi="仿宋" w:eastAsia="仿宋" w:cs="仿宋"/>
                <w:sz w:val="18"/>
                <w:szCs w:val="18"/>
              </w:rPr>
            </w:pPr>
            <w:r>
              <w:rPr>
                <w:rFonts w:hint="eastAsia" w:ascii="仿宋" w:hAnsi="仿宋" w:eastAsia="仿宋" w:cs="仿宋"/>
                <w:sz w:val="18"/>
                <w:szCs w:val="18"/>
              </w:rPr>
              <w:t>标准品对照</w:t>
            </w:r>
          </w:p>
        </w:tc>
        <w:tc>
          <w:tcPr>
            <w:tcW w:w="2127" w:type="dxa"/>
            <w:vAlign w:val="center"/>
          </w:tcPr>
          <w:p w14:paraId="6FFC9BE0">
            <w:pPr>
              <w:ind w:left="-34" w:leftChars="-17" w:hanging="2"/>
              <w:jc w:val="left"/>
              <w:rPr>
                <w:rFonts w:ascii="仿宋" w:hAnsi="仿宋" w:eastAsia="仿宋" w:cs="仿宋"/>
                <w:sz w:val="18"/>
                <w:szCs w:val="18"/>
              </w:rPr>
            </w:pPr>
            <w:r>
              <w:rPr>
                <w:rFonts w:hint="eastAsia" w:ascii="仿宋" w:hAnsi="仿宋" w:eastAsia="仿宋" w:cs="仿宋"/>
                <w:sz w:val="18"/>
                <w:szCs w:val="18"/>
              </w:rPr>
              <w:t>与标准品对照：供试品溶液主峰的保留时间应与对照品溶液主峰保留时间一致，紫外光谱图比对一致。</w:t>
            </w:r>
          </w:p>
        </w:tc>
        <w:tc>
          <w:tcPr>
            <w:tcW w:w="3969" w:type="dxa"/>
            <w:vAlign w:val="center"/>
          </w:tcPr>
          <w:p w14:paraId="48F4C4EE">
            <w:pPr>
              <w:ind w:left="-34" w:leftChars="-17" w:hanging="2"/>
              <w:jc w:val="left"/>
              <w:rPr>
                <w:rFonts w:ascii="仿宋" w:hAnsi="仿宋" w:eastAsia="仿宋" w:cs="仿宋"/>
                <w:sz w:val="18"/>
                <w:szCs w:val="18"/>
              </w:rPr>
            </w:pPr>
            <w:r>
              <w:rPr>
                <w:rFonts w:hint="eastAsia" w:ascii="仿宋" w:hAnsi="仿宋" w:eastAsia="仿宋" w:cs="仿宋"/>
                <w:sz w:val="18"/>
                <w:szCs w:val="18"/>
              </w:rPr>
              <w:t>高效液相色谱法鉴别：在色谱条件相同的情况下，同样的物质其保留时间是一致的。标准物质购自坛墨质检标准物质中心，纯度为9</w:t>
            </w:r>
            <w:r>
              <w:rPr>
                <w:rFonts w:ascii="仿宋" w:hAnsi="仿宋" w:eastAsia="仿宋" w:cs="仿宋"/>
                <w:sz w:val="18"/>
                <w:szCs w:val="18"/>
              </w:rPr>
              <w:t>9.9%</w:t>
            </w:r>
            <w:r>
              <w:rPr>
                <w:rFonts w:hint="eastAsia" w:ascii="仿宋" w:hAnsi="仿宋" w:eastAsia="仿宋" w:cs="仿宋"/>
                <w:sz w:val="18"/>
                <w:szCs w:val="18"/>
              </w:rPr>
              <w:t>。供试品与对照品保留时间一致，紫外光谱图比对一致，可以定性鉴别属同一物质。</w:t>
            </w:r>
          </w:p>
        </w:tc>
        <w:tc>
          <w:tcPr>
            <w:tcW w:w="1071" w:type="dxa"/>
            <w:vAlign w:val="center"/>
          </w:tcPr>
          <w:p w14:paraId="7133AF4E">
            <w:pPr>
              <w:jc w:val="left"/>
              <w:rPr>
                <w:rFonts w:ascii="仿宋" w:hAnsi="仿宋" w:eastAsia="仿宋" w:cs="仿宋"/>
                <w:sz w:val="18"/>
                <w:szCs w:val="18"/>
              </w:rPr>
            </w:pPr>
            <w:r>
              <w:rPr>
                <w:rFonts w:hint="eastAsia" w:ascii="仿宋" w:hAnsi="仿宋" w:eastAsia="仿宋" w:cs="宋体"/>
                <w:sz w:val="18"/>
                <w:szCs w:val="18"/>
              </w:rPr>
              <w:t>/</w:t>
            </w:r>
          </w:p>
        </w:tc>
      </w:tr>
      <w:tr w14:paraId="372A13D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29" w:type="dxa"/>
            <w:vMerge w:val="restart"/>
            <w:vAlign w:val="center"/>
          </w:tcPr>
          <w:p w14:paraId="37F2779A">
            <w:pPr>
              <w:ind w:left="-34" w:leftChars="-17" w:hanging="2"/>
              <w:jc w:val="left"/>
              <w:rPr>
                <w:rFonts w:ascii="仿宋" w:hAnsi="仿宋" w:eastAsia="仿宋" w:cs="仿宋"/>
                <w:sz w:val="18"/>
                <w:szCs w:val="18"/>
              </w:rPr>
            </w:pPr>
            <w:r>
              <w:rPr>
                <w:rFonts w:hint="eastAsia" w:ascii="仿宋" w:hAnsi="仿宋" w:eastAsia="仿宋" w:cs="仿宋"/>
                <w:sz w:val="18"/>
                <w:szCs w:val="18"/>
              </w:rPr>
              <w:t>色谱条件</w:t>
            </w:r>
          </w:p>
        </w:tc>
        <w:tc>
          <w:tcPr>
            <w:tcW w:w="2127" w:type="dxa"/>
            <w:vAlign w:val="center"/>
          </w:tcPr>
          <w:p w14:paraId="6BE32483">
            <w:pPr>
              <w:ind w:left="-34" w:leftChars="-17" w:hanging="2"/>
              <w:jc w:val="left"/>
              <w:rPr>
                <w:rFonts w:ascii="仿宋" w:hAnsi="仿宋" w:eastAsia="仿宋" w:cs="仿宋"/>
                <w:sz w:val="18"/>
                <w:szCs w:val="18"/>
              </w:rPr>
            </w:pPr>
            <w:r>
              <w:rPr>
                <w:rFonts w:hint="eastAsia" w:ascii="仿宋" w:hAnsi="仿宋" w:eastAsia="仿宋" w:cs="仿宋"/>
                <w:sz w:val="18"/>
                <w:szCs w:val="18"/>
              </w:rPr>
              <w:t>柱温：3</w:t>
            </w:r>
            <w:r>
              <w:rPr>
                <w:rFonts w:ascii="仿宋" w:hAnsi="仿宋" w:eastAsia="仿宋" w:cs="仿宋"/>
                <w:sz w:val="18"/>
                <w:szCs w:val="18"/>
              </w:rPr>
              <w:t>0</w:t>
            </w:r>
            <w:r>
              <w:rPr>
                <w:rFonts w:hint="eastAsia" w:ascii="仿宋" w:hAnsi="仿宋" w:eastAsia="仿宋" w:cs="仿宋"/>
                <w:sz w:val="18"/>
                <w:szCs w:val="18"/>
              </w:rPr>
              <w:t>℃。</w:t>
            </w:r>
          </w:p>
        </w:tc>
        <w:tc>
          <w:tcPr>
            <w:tcW w:w="3969" w:type="dxa"/>
            <w:vAlign w:val="center"/>
          </w:tcPr>
          <w:p w14:paraId="03FCA011">
            <w:pPr>
              <w:ind w:left="-34" w:leftChars="-17" w:hanging="2"/>
              <w:jc w:val="left"/>
              <w:rPr>
                <w:rFonts w:ascii="仿宋" w:hAnsi="仿宋" w:eastAsia="仿宋" w:cs="仿宋"/>
                <w:sz w:val="18"/>
                <w:szCs w:val="18"/>
              </w:rPr>
            </w:pPr>
            <w:r>
              <w:rPr>
                <w:rFonts w:hint="eastAsia" w:ascii="仿宋" w:hAnsi="仿宋" w:eastAsia="仿宋" w:cs="仿宋"/>
                <w:sz w:val="18"/>
                <w:szCs w:val="18"/>
              </w:rPr>
              <w:t>柱温探究：在其他色谱条件相同的情况下，柱温对峰型和保留时间的影响较小。考虑各地实验室实际工作的环境温度，选择3</w:t>
            </w:r>
            <w:r>
              <w:rPr>
                <w:rFonts w:ascii="仿宋" w:hAnsi="仿宋" w:eastAsia="仿宋" w:cs="仿宋"/>
                <w:sz w:val="18"/>
                <w:szCs w:val="18"/>
              </w:rPr>
              <w:t>0</w:t>
            </w:r>
            <w:r>
              <w:rPr>
                <w:rFonts w:hint="eastAsia" w:ascii="仿宋" w:hAnsi="仿宋" w:eastAsia="仿宋" w:cs="仿宋"/>
                <w:sz w:val="18"/>
                <w:szCs w:val="18"/>
              </w:rPr>
              <w:t>℃为条件较为普适。</w:t>
            </w:r>
          </w:p>
        </w:tc>
        <w:tc>
          <w:tcPr>
            <w:tcW w:w="1071" w:type="dxa"/>
            <w:vAlign w:val="center"/>
          </w:tcPr>
          <w:p w14:paraId="0D956400">
            <w:pPr>
              <w:jc w:val="left"/>
              <w:rPr>
                <w:rFonts w:ascii="仿宋" w:hAnsi="仿宋" w:eastAsia="仿宋" w:cs="仿宋"/>
                <w:sz w:val="18"/>
                <w:szCs w:val="18"/>
              </w:rPr>
            </w:pPr>
            <w:r>
              <w:rPr>
                <w:rFonts w:hint="eastAsia" w:ascii="仿宋" w:hAnsi="仿宋" w:eastAsia="仿宋" w:cs="宋体"/>
                <w:sz w:val="18"/>
                <w:szCs w:val="18"/>
              </w:rPr>
              <w:t>/</w:t>
            </w:r>
          </w:p>
        </w:tc>
      </w:tr>
      <w:tr w14:paraId="059798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29" w:type="dxa"/>
            <w:vMerge w:val="continue"/>
            <w:vAlign w:val="center"/>
          </w:tcPr>
          <w:p w14:paraId="6447EFA7">
            <w:pPr>
              <w:ind w:left="-34" w:leftChars="-17" w:hanging="2"/>
              <w:jc w:val="left"/>
              <w:rPr>
                <w:rFonts w:ascii="仿宋" w:hAnsi="仿宋" w:eastAsia="仿宋" w:cs="仿宋"/>
                <w:sz w:val="18"/>
                <w:szCs w:val="18"/>
              </w:rPr>
            </w:pPr>
          </w:p>
        </w:tc>
        <w:tc>
          <w:tcPr>
            <w:tcW w:w="2127" w:type="dxa"/>
            <w:vAlign w:val="center"/>
          </w:tcPr>
          <w:p w14:paraId="36C1BDA0">
            <w:pPr>
              <w:ind w:left="-34" w:leftChars="-17" w:hanging="2"/>
              <w:jc w:val="left"/>
              <w:rPr>
                <w:rFonts w:ascii="仿宋" w:hAnsi="仿宋" w:eastAsia="仿宋" w:cs="仿宋"/>
                <w:sz w:val="18"/>
                <w:szCs w:val="18"/>
              </w:rPr>
            </w:pPr>
            <w:r>
              <w:rPr>
                <w:rFonts w:hint="eastAsia" w:ascii="仿宋" w:hAnsi="仿宋" w:eastAsia="仿宋" w:cs="仿宋"/>
                <w:sz w:val="18"/>
                <w:szCs w:val="18"/>
              </w:rPr>
              <w:t>进样量：1</w:t>
            </w:r>
            <w:r>
              <w:rPr>
                <w:rFonts w:ascii="仿宋" w:hAnsi="仿宋" w:eastAsia="仿宋" w:cs="仿宋"/>
                <w:sz w:val="18"/>
                <w:szCs w:val="18"/>
              </w:rPr>
              <w:t xml:space="preserve"> </w:t>
            </w:r>
            <w:r>
              <w:rPr>
                <w:rFonts w:hint="eastAsia" w:ascii="仿宋" w:hAnsi="仿宋" w:eastAsia="仿宋" w:cs="仿宋"/>
                <w:sz w:val="18"/>
                <w:szCs w:val="18"/>
              </w:rPr>
              <w:t>μ</w:t>
            </w:r>
            <w:r>
              <w:rPr>
                <w:rFonts w:ascii="仿宋" w:hAnsi="仿宋" w:eastAsia="仿宋" w:cs="仿宋"/>
                <w:sz w:val="18"/>
                <w:szCs w:val="18"/>
              </w:rPr>
              <w:t>L</w:t>
            </w:r>
          </w:p>
        </w:tc>
        <w:tc>
          <w:tcPr>
            <w:tcW w:w="3969" w:type="dxa"/>
            <w:vAlign w:val="center"/>
          </w:tcPr>
          <w:p w14:paraId="41946271">
            <w:pPr>
              <w:ind w:left="-9" w:leftChars="-17" w:hanging="27" w:hangingChars="15"/>
              <w:jc w:val="left"/>
              <w:rPr>
                <w:rFonts w:ascii="仿宋" w:hAnsi="仿宋" w:eastAsia="仿宋" w:cs="仿宋"/>
                <w:sz w:val="18"/>
                <w:szCs w:val="18"/>
              </w:rPr>
            </w:pPr>
            <w:r>
              <w:rPr>
                <w:rFonts w:hint="eastAsia" w:ascii="仿宋" w:hAnsi="仿宋" w:eastAsia="仿宋" w:cs="仿宋"/>
                <w:sz w:val="18"/>
                <w:szCs w:val="18"/>
              </w:rPr>
              <w:t>进样量探究：在其他色谱条件相同的情况下，探究进样量为1、5和1</w:t>
            </w:r>
            <w:r>
              <w:rPr>
                <w:rFonts w:ascii="仿宋" w:hAnsi="仿宋" w:eastAsia="仿宋" w:cs="仿宋"/>
                <w:sz w:val="18"/>
                <w:szCs w:val="18"/>
              </w:rPr>
              <w:t>0</w:t>
            </w:r>
            <w:r>
              <w:rPr>
                <w:rFonts w:hint="eastAsia" w:ascii="仿宋" w:hAnsi="仿宋" w:eastAsia="仿宋" w:cs="仿宋"/>
                <w:sz w:val="18"/>
                <w:szCs w:val="18"/>
              </w:rPr>
              <w:t>μ</w:t>
            </w:r>
            <w:r>
              <w:rPr>
                <w:rFonts w:ascii="仿宋" w:hAnsi="仿宋" w:eastAsia="仿宋" w:cs="仿宋"/>
                <w:sz w:val="18"/>
                <w:szCs w:val="18"/>
              </w:rPr>
              <w:t>L</w:t>
            </w:r>
            <w:r>
              <w:rPr>
                <w:rFonts w:hint="eastAsia" w:ascii="仿宋" w:hAnsi="仿宋" w:eastAsia="仿宋" w:cs="仿宋"/>
                <w:sz w:val="18"/>
                <w:szCs w:val="18"/>
              </w:rPr>
              <w:t>时对色谱峰的峰型影响，当进样量较大时，高浓度样品的色谱峰可能出现峰型不对称、过载等情况。考虑实际样品中依克多因含量通常为0</w:t>
            </w:r>
            <w:r>
              <w:rPr>
                <w:rFonts w:ascii="仿宋" w:hAnsi="仿宋" w:eastAsia="仿宋" w:cs="仿宋"/>
                <w:sz w:val="18"/>
                <w:szCs w:val="18"/>
              </w:rPr>
              <w:t>.1-2.0%</w:t>
            </w:r>
            <w:r>
              <w:rPr>
                <w:rFonts w:hint="eastAsia" w:ascii="仿宋" w:hAnsi="仿宋" w:eastAsia="仿宋" w:cs="仿宋"/>
                <w:sz w:val="18"/>
                <w:szCs w:val="18"/>
              </w:rPr>
              <w:t>，因此，选择进样量为1μ</w:t>
            </w:r>
            <w:r>
              <w:rPr>
                <w:rFonts w:ascii="仿宋" w:hAnsi="仿宋" w:eastAsia="仿宋" w:cs="仿宋"/>
                <w:sz w:val="18"/>
                <w:szCs w:val="18"/>
              </w:rPr>
              <w:t>L</w:t>
            </w:r>
            <w:r>
              <w:rPr>
                <w:rFonts w:hint="eastAsia" w:ascii="仿宋" w:hAnsi="仿宋" w:eastAsia="仿宋" w:cs="仿宋"/>
                <w:sz w:val="18"/>
                <w:szCs w:val="18"/>
              </w:rPr>
              <w:t>可以更好的分析高浓度样品。</w:t>
            </w:r>
          </w:p>
        </w:tc>
        <w:tc>
          <w:tcPr>
            <w:tcW w:w="1071" w:type="dxa"/>
            <w:vAlign w:val="center"/>
          </w:tcPr>
          <w:p w14:paraId="74914F2E">
            <w:pPr>
              <w:ind w:left="-9" w:leftChars="-17" w:hanging="27" w:hangingChars="15"/>
              <w:jc w:val="left"/>
              <w:rPr>
                <w:rFonts w:ascii="仿宋" w:hAnsi="仿宋" w:eastAsia="仿宋" w:cs="仿宋"/>
                <w:sz w:val="18"/>
                <w:szCs w:val="18"/>
              </w:rPr>
            </w:pPr>
            <w:r>
              <w:rPr>
                <w:rFonts w:hint="eastAsia" w:ascii="仿宋" w:hAnsi="仿宋" w:eastAsia="仿宋" w:cs="宋体"/>
                <w:sz w:val="18"/>
                <w:szCs w:val="18"/>
              </w:rPr>
              <w:t>/</w:t>
            </w:r>
          </w:p>
        </w:tc>
      </w:tr>
      <w:tr w14:paraId="790CEF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29" w:type="dxa"/>
            <w:vMerge w:val="continue"/>
            <w:vAlign w:val="center"/>
          </w:tcPr>
          <w:p w14:paraId="23C2BCB9">
            <w:pPr>
              <w:snapToGrid w:val="0"/>
              <w:rPr>
                <w:rFonts w:ascii="仿宋" w:hAnsi="仿宋" w:eastAsia="仿宋" w:cs="仿宋"/>
                <w:sz w:val="18"/>
                <w:szCs w:val="18"/>
              </w:rPr>
            </w:pPr>
          </w:p>
        </w:tc>
        <w:tc>
          <w:tcPr>
            <w:tcW w:w="2127" w:type="dxa"/>
            <w:vAlign w:val="center"/>
          </w:tcPr>
          <w:p w14:paraId="00CEC49A">
            <w:pPr>
              <w:ind w:left="-34" w:leftChars="-17" w:hanging="2"/>
              <w:jc w:val="left"/>
              <w:rPr>
                <w:rFonts w:ascii="仿宋" w:hAnsi="仿宋" w:eastAsia="仿宋" w:cs="仿宋"/>
                <w:sz w:val="18"/>
                <w:szCs w:val="18"/>
              </w:rPr>
            </w:pPr>
            <w:r>
              <w:rPr>
                <w:rFonts w:hint="eastAsia" w:ascii="仿宋" w:hAnsi="仿宋" w:eastAsia="仿宋" w:cs="仿宋"/>
                <w:sz w:val="18"/>
                <w:szCs w:val="18"/>
              </w:rPr>
              <w:t>流动相组成：</w:t>
            </w:r>
          </w:p>
          <w:p w14:paraId="1758EEB0">
            <w:pPr>
              <w:ind w:left="-34" w:leftChars="-17" w:hanging="2"/>
              <w:jc w:val="left"/>
              <w:rPr>
                <w:rFonts w:ascii="仿宋" w:hAnsi="仿宋" w:eastAsia="仿宋" w:cs="仿宋"/>
                <w:sz w:val="18"/>
                <w:szCs w:val="18"/>
              </w:rPr>
            </w:pPr>
            <w:r>
              <w:rPr>
                <w:rFonts w:hint="eastAsia" w:ascii="仿宋" w:hAnsi="仿宋" w:eastAsia="仿宋" w:cs="仿宋"/>
                <w:sz w:val="18"/>
                <w:szCs w:val="18"/>
              </w:rPr>
              <w:t>流动相</w:t>
            </w:r>
            <w:r>
              <w:rPr>
                <w:rFonts w:ascii="仿宋" w:hAnsi="仿宋" w:eastAsia="仿宋" w:cs="仿宋"/>
                <w:sz w:val="18"/>
                <w:szCs w:val="18"/>
              </w:rPr>
              <w:t>A：40mmol/L磷酸二氢钠（4.8g）+10mmol/L 1-庚烷磺酸钠（2.02g)水溶液，用磷酸调pH</w:t>
            </w:r>
            <w:r>
              <w:rPr>
                <w:rFonts w:hint="eastAsia" w:ascii="仿宋" w:hAnsi="仿宋" w:eastAsia="仿宋" w:cs="仿宋"/>
                <w:sz w:val="18"/>
                <w:szCs w:val="18"/>
              </w:rPr>
              <w:t>至</w:t>
            </w:r>
            <w:r>
              <w:rPr>
                <w:rFonts w:ascii="仿宋" w:hAnsi="仿宋" w:eastAsia="仿宋" w:cs="仿宋"/>
                <w:sz w:val="18"/>
                <w:szCs w:val="18"/>
              </w:rPr>
              <w:t>3.0。</w:t>
            </w:r>
          </w:p>
          <w:p w14:paraId="49C985E4">
            <w:pPr>
              <w:ind w:left="-34" w:leftChars="-17" w:hanging="2"/>
              <w:jc w:val="left"/>
              <w:rPr>
                <w:rFonts w:ascii="仿宋" w:hAnsi="仿宋" w:eastAsia="仿宋" w:cs="仿宋"/>
                <w:sz w:val="18"/>
                <w:szCs w:val="18"/>
              </w:rPr>
            </w:pPr>
            <w:r>
              <w:rPr>
                <w:rFonts w:ascii="仿宋" w:hAnsi="仿宋" w:eastAsia="仿宋" w:cs="仿宋"/>
                <w:sz w:val="18"/>
                <w:szCs w:val="18"/>
              </w:rPr>
              <w:t>流动相B：甲醇</w:t>
            </w:r>
          </w:p>
        </w:tc>
        <w:tc>
          <w:tcPr>
            <w:tcW w:w="3969" w:type="dxa"/>
            <w:vAlign w:val="center"/>
          </w:tcPr>
          <w:p w14:paraId="53226AC2">
            <w:pPr>
              <w:widowControl/>
              <w:jc w:val="left"/>
              <w:rPr>
                <w:rFonts w:ascii="仿宋" w:hAnsi="仿宋" w:eastAsia="仿宋" w:cs="仿宋"/>
                <w:sz w:val="18"/>
                <w:szCs w:val="18"/>
              </w:rPr>
            </w:pPr>
            <w:r>
              <w:rPr>
                <w:rFonts w:hint="eastAsia" w:ascii="仿宋" w:hAnsi="仿宋" w:eastAsia="仿宋" w:cs="仿宋"/>
                <w:sz w:val="18"/>
                <w:szCs w:val="18"/>
              </w:rPr>
              <w:t>流动相组成探究：在其他色谱条件相同的情况下，探究了不同的离子对试剂对分离效果的影响，发现合适的p</w:t>
            </w:r>
            <w:r>
              <w:rPr>
                <w:rFonts w:ascii="仿宋" w:hAnsi="仿宋" w:eastAsia="仿宋" w:cs="仿宋"/>
                <w:sz w:val="18"/>
                <w:szCs w:val="18"/>
              </w:rPr>
              <w:t>H</w:t>
            </w:r>
            <w:r>
              <w:rPr>
                <w:rFonts w:hint="eastAsia" w:ascii="仿宋" w:hAnsi="仿宋" w:eastAsia="仿宋" w:cs="仿宋"/>
                <w:sz w:val="18"/>
                <w:szCs w:val="18"/>
              </w:rPr>
              <w:t>缓冲体系下的1</w:t>
            </w:r>
            <w:r>
              <w:rPr>
                <w:rFonts w:ascii="仿宋" w:hAnsi="仿宋" w:eastAsia="仿宋" w:cs="仿宋"/>
                <w:sz w:val="18"/>
                <w:szCs w:val="18"/>
              </w:rPr>
              <w:t>-</w:t>
            </w:r>
            <w:r>
              <w:rPr>
                <w:rFonts w:hint="eastAsia" w:ascii="仿宋" w:hAnsi="仿宋" w:eastAsia="仿宋" w:cs="仿宋"/>
                <w:sz w:val="18"/>
                <w:szCs w:val="18"/>
              </w:rPr>
              <w:t>庚烷磺酸钠作为流动相的分离效果要优于十二烷基硫酸钠、纯磷酸盐缓冲体系。</w:t>
            </w:r>
          </w:p>
        </w:tc>
        <w:tc>
          <w:tcPr>
            <w:tcW w:w="1071" w:type="dxa"/>
          </w:tcPr>
          <w:p w14:paraId="6A667E6C">
            <w:r>
              <w:rPr>
                <w:rFonts w:hint="eastAsia" w:ascii="仿宋" w:hAnsi="仿宋" w:eastAsia="仿宋" w:cs="宋体"/>
                <w:sz w:val="18"/>
                <w:szCs w:val="18"/>
              </w:rPr>
              <w:t>/</w:t>
            </w:r>
          </w:p>
        </w:tc>
      </w:tr>
      <w:tr w14:paraId="061FE68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29" w:type="dxa"/>
            <w:vMerge w:val="continue"/>
            <w:vAlign w:val="center"/>
          </w:tcPr>
          <w:p w14:paraId="0044E5F8">
            <w:pPr>
              <w:snapToGrid w:val="0"/>
              <w:rPr>
                <w:rFonts w:ascii="仿宋" w:hAnsi="仿宋" w:eastAsia="仿宋" w:cs="仿宋"/>
                <w:sz w:val="18"/>
                <w:szCs w:val="18"/>
              </w:rPr>
            </w:pPr>
          </w:p>
        </w:tc>
        <w:tc>
          <w:tcPr>
            <w:tcW w:w="2127" w:type="dxa"/>
            <w:vAlign w:val="center"/>
          </w:tcPr>
          <w:p w14:paraId="6E3706C6">
            <w:pPr>
              <w:ind w:left="-34" w:leftChars="-17" w:hanging="2"/>
              <w:jc w:val="left"/>
              <w:rPr>
                <w:rFonts w:ascii="仿宋" w:hAnsi="仿宋" w:eastAsia="仿宋" w:cs="仿宋"/>
                <w:sz w:val="18"/>
                <w:szCs w:val="18"/>
              </w:rPr>
            </w:pPr>
            <w:r>
              <w:rPr>
                <w:rFonts w:hint="eastAsia" w:ascii="仿宋" w:hAnsi="仿宋" w:eastAsia="仿宋" w:cs="仿宋"/>
                <w:sz w:val="18"/>
                <w:szCs w:val="18"/>
              </w:rPr>
              <w:t>流动相水相pH值</w:t>
            </w:r>
            <w:r>
              <w:rPr>
                <w:rFonts w:ascii="仿宋" w:hAnsi="仿宋" w:eastAsia="仿宋" w:cs="仿宋"/>
                <w:sz w:val="18"/>
                <w:szCs w:val="18"/>
              </w:rPr>
              <w:t>：</w:t>
            </w:r>
            <w:r>
              <w:rPr>
                <w:rFonts w:hint="eastAsia" w:ascii="仿宋" w:hAnsi="仿宋" w:eastAsia="仿宋" w:cs="仿宋"/>
                <w:sz w:val="18"/>
                <w:szCs w:val="18"/>
              </w:rPr>
              <w:t>3</w:t>
            </w:r>
            <w:r>
              <w:rPr>
                <w:rFonts w:ascii="仿宋" w:hAnsi="仿宋" w:eastAsia="仿宋" w:cs="仿宋"/>
                <w:sz w:val="18"/>
                <w:szCs w:val="18"/>
              </w:rPr>
              <w:t>.0</w:t>
            </w:r>
          </w:p>
        </w:tc>
        <w:tc>
          <w:tcPr>
            <w:tcW w:w="3969" w:type="dxa"/>
            <w:vAlign w:val="center"/>
          </w:tcPr>
          <w:p w14:paraId="500BD629">
            <w:pPr>
              <w:jc w:val="left"/>
              <w:rPr>
                <w:rFonts w:ascii="仿宋" w:hAnsi="仿宋" w:eastAsia="仿宋" w:cs="宋体"/>
                <w:sz w:val="18"/>
                <w:szCs w:val="18"/>
              </w:rPr>
            </w:pPr>
            <w:r>
              <w:rPr>
                <w:rFonts w:hint="eastAsia" w:ascii="仿宋" w:hAnsi="仿宋" w:eastAsia="仿宋" w:cs="宋体"/>
                <w:sz w:val="18"/>
                <w:szCs w:val="18"/>
              </w:rPr>
              <w:t>流动相水相的pH值探究：资料表明，依克多因的p</w:t>
            </w:r>
            <w:r>
              <w:rPr>
                <w:rFonts w:ascii="仿宋" w:hAnsi="仿宋" w:eastAsia="仿宋" w:cs="宋体"/>
                <w:sz w:val="18"/>
                <w:szCs w:val="18"/>
              </w:rPr>
              <w:t>Ka</w:t>
            </w:r>
            <w:r>
              <w:rPr>
                <w:rFonts w:hint="eastAsia" w:ascii="仿宋" w:hAnsi="仿宋" w:eastAsia="仿宋" w:cs="宋体"/>
                <w:sz w:val="18"/>
                <w:szCs w:val="18"/>
              </w:rPr>
              <w:t>值为3</w:t>
            </w:r>
            <w:r>
              <w:rPr>
                <w:rFonts w:ascii="仿宋" w:hAnsi="仿宋" w:eastAsia="仿宋" w:cs="宋体"/>
                <w:sz w:val="18"/>
                <w:szCs w:val="18"/>
              </w:rPr>
              <w:t>.14</w:t>
            </w:r>
            <w:r>
              <w:rPr>
                <w:rFonts w:hint="eastAsia" w:ascii="仿宋" w:hAnsi="仿宋" w:eastAsia="仿宋" w:cs="宋体"/>
                <w:sz w:val="18"/>
                <w:szCs w:val="18"/>
              </w:rPr>
              <w:t>，</w:t>
            </w:r>
            <w:r>
              <w:rPr>
                <w:rFonts w:hint="eastAsia" w:ascii="仿宋" w:hAnsi="仿宋" w:eastAsia="仿宋" w:cs="仿宋"/>
                <w:sz w:val="18"/>
                <w:szCs w:val="18"/>
              </w:rPr>
              <w:t>在其他色谱条件相同的情况下，探究了p</w:t>
            </w:r>
            <w:r>
              <w:rPr>
                <w:rFonts w:ascii="仿宋" w:hAnsi="仿宋" w:eastAsia="仿宋" w:cs="仿宋"/>
                <w:sz w:val="18"/>
                <w:szCs w:val="18"/>
              </w:rPr>
              <w:t>H</w:t>
            </w:r>
            <w:r>
              <w:rPr>
                <w:rFonts w:hint="eastAsia" w:ascii="仿宋" w:hAnsi="仿宋" w:eastAsia="仿宋" w:cs="仿宋"/>
                <w:sz w:val="18"/>
                <w:szCs w:val="18"/>
              </w:rPr>
              <w:t>为2,</w:t>
            </w:r>
            <w:r>
              <w:rPr>
                <w:rFonts w:ascii="仿宋" w:hAnsi="仿宋" w:eastAsia="仿宋" w:cs="仿宋"/>
                <w:sz w:val="18"/>
                <w:szCs w:val="18"/>
              </w:rPr>
              <w:t>3</w:t>
            </w:r>
            <w:r>
              <w:rPr>
                <w:rFonts w:hint="eastAsia" w:ascii="仿宋" w:hAnsi="仿宋" w:eastAsia="仿宋" w:cs="仿宋"/>
                <w:sz w:val="18"/>
                <w:szCs w:val="18"/>
              </w:rPr>
              <w:t>,</w:t>
            </w:r>
            <w:r>
              <w:rPr>
                <w:rFonts w:ascii="仿宋" w:hAnsi="仿宋" w:eastAsia="仿宋" w:cs="仿宋"/>
                <w:sz w:val="18"/>
                <w:szCs w:val="18"/>
              </w:rPr>
              <w:t>4</w:t>
            </w:r>
            <w:r>
              <w:rPr>
                <w:rFonts w:hint="eastAsia" w:ascii="仿宋" w:hAnsi="仿宋" w:eastAsia="仿宋" w:cs="仿宋"/>
                <w:sz w:val="18"/>
                <w:szCs w:val="18"/>
              </w:rPr>
              <w:t>时对分离效果的影响，当p</w:t>
            </w:r>
            <w:r>
              <w:rPr>
                <w:rFonts w:ascii="仿宋" w:hAnsi="仿宋" w:eastAsia="仿宋" w:cs="仿宋"/>
                <w:sz w:val="18"/>
                <w:szCs w:val="18"/>
              </w:rPr>
              <w:t>H</w:t>
            </w:r>
            <w:r>
              <w:rPr>
                <w:rFonts w:hint="eastAsia" w:ascii="仿宋" w:hAnsi="仿宋" w:eastAsia="仿宋" w:cs="仿宋"/>
                <w:sz w:val="18"/>
                <w:szCs w:val="18"/>
              </w:rPr>
              <w:t>为3时，峰型尖锐对称，无前伸或拖尾问题。</w:t>
            </w:r>
          </w:p>
        </w:tc>
        <w:tc>
          <w:tcPr>
            <w:tcW w:w="1071" w:type="dxa"/>
          </w:tcPr>
          <w:p w14:paraId="7123D143">
            <w:r>
              <w:rPr>
                <w:rFonts w:hint="eastAsia" w:ascii="仿宋" w:hAnsi="仿宋" w:eastAsia="仿宋" w:cs="宋体"/>
                <w:sz w:val="18"/>
                <w:szCs w:val="18"/>
              </w:rPr>
              <w:t>/</w:t>
            </w:r>
          </w:p>
        </w:tc>
      </w:tr>
      <w:tr w14:paraId="5B8AE0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0" w:hRule="atLeast"/>
        </w:trPr>
        <w:tc>
          <w:tcPr>
            <w:tcW w:w="1129" w:type="dxa"/>
            <w:vMerge w:val="continue"/>
            <w:vAlign w:val="center"/>
          </w:tcPr>
          <w:p w14:paraId="10DBDE87">
            <w:pPr>
              <w:snapToGrid w:val="0"/>
              <w:rPr>
                <w:rFonts w:ascii="仿宋" w:hAnsi="仿宋" w:eastAsia="仿宋" w:cs="仿宋"/>
                <w:sz w:val="18"/>
                <w:szCs w:val="18"/>
              </w:rPr>
            </w:pPr>
          </w:p>
        </w:tc>
        <w:tc>
          <w:tcPr>
            <w:tcW w:w="2127" w:type="dxa"/>
            <w:vAlign w:val="center"/>
          </w:tcPr>
          <w:p w14:paraId="5DF4A2D4">
            <w:pPr>
              <w:ind w:left="-34" w:leftChars="-17" w:hanging="2"/>
              <w:jc w:val="left"/>
              <w:rPr>
                <w:rFonts w:ascii="仿宋" w:hAnsi="仿宋" w:eastAsia="仿宋" w:cs="仿宋"/>
                <w:sz w:val="18"/>
                <w:szCs w:val="18"/>
              </w:rPr>
            </w:pPr>
            <w:r>
              <w:rPr>
                <w:rFonts w:hint="eastAsia" w:ascii="仿宋" w:hAnsi="仿宋" w:eastAsia="仿宋" w:cs="仿宋"/>
                <w:sz w:val="18"/>
                <w:szCs w:val="18"/>
              </w:rPr>
              <w:t>流速：1</w:t>
            </w:r>
            <w:r>
              <w:rPr>
                <w:rFonts w:ascii="仿宋" w:hAnsi="仿宋" w:eastAsia="仿宋" w:cs="仿宋"/>
                <w:sz w:val="18"/>
                <w:szCs w:val="18"/>
              </w:rPr>
              <w:t>.0 mL/min</w:t>
            </w:r>
          </w:p>
        </w:tc>
        <w:tc>
          <w:tcPr>
            <w:tcW w:w="3969" w:type="dxa"/>
            <w:vAlign w:val="center"/>
          </w:tcPr>
          <w:p w14:paraId="0D178B4A">
            <w:r>
              <w:rPr>
                <w:rFonts w:hint="eastAsia" w:ascii="仿宋" w:hAnsi="仿宋" w:eastAsia="仿宋" w:cs="仿宋"/>
                <w:sz w:val="18"/>
                <w:szCs w:val="18"/>
              </w:rPr>
              <w:t>流速探究：在其他色谱条件相同的情况下，探究流速为0</w:t>
            </w:r>
            <w:r>
              <w:rPr>
                <w:rFonts w:ascii="仿宋" w:hAnsi="仿宋" w:eastAsia="仿宋" w:cs="仿宋"/>
                <w:sz w:val="18"/>
                <w:szCs w:val="18"/>
              </w:rPr>
              <w:t>.5</w:t>
            </w:r>
            <w:r>
              <w:rPr>
                <w:rFonts w:hint="eastAsia" w:ascii="仿宋" w:hAnsi="仿宋" w:eastAsia="仿宋" w:cs="仿宋"/>
                <w:sz w:val="18"/>
                <w:szCs w:val="18"/>
              </w:rPr>
              <w:t>、0</w:t>
            </w:r>
            <w:r>
              <w:rPr>
                <w:rFonts w:ascii="仿宋" w:hAnsi="仿宋" w:eastAsia="仿宋" w:cs="仿宋"/>
                <w:sz w:val="18"/>
                <w:szCs w:val="18"/>
              </w:rPr>
              <w:t>.8</w:t>
            </w:r>
            <w:r>
              <w:rPr>
                <w:rFonts w:hint="eastAsia" w:ascii="仿宋" w:hAnsi="仿宋" w:eastAsia="仿宋" w:cs="仿宋"/>
                <w:sz w:val="18"/>
                <w:szCs w:val="18"/>
              </w:rPr>
              <w:t>、1.</w:t>
            </w:r>
            <w:r>
              <w:rPr>
                <w:rFonts w:ascii="仿宋" w:hAnsi="仿宋" w:eastAsia="仿宋" w:cs="仿宋"/>
                <w:sz w:val="18"/>
                <w:szCs w:val="18"/>
              </w:rPr>
              <w:t>0</w:t>
            </w:r>
            <w:r>
              <w:rPr>
                <w:rFonts w:hint="eastAsia" w:ascii="仿宋" w:hAnsi="仿宋" w:eastAsia="仿宋" w:cs="仿宋"/>
                <w:sz w:val="18"/>
                <w:szCs w:val="18"/>
              </w:rPr>
              <w:t>、1</w:t>
            </w:r>
            <w:r>
              <w:rPr>
                <w:rFonts w:ascii="仿宋" w:hAnsi="仿宋" w:eastAsia="仿宋" w:cs="仿宋"/>
                <w:sz w:val="18"/>
                <w:szCs w:val="18"/>
              </w:rPr>
              <w:t>.5 mL</w:t>
            </w:r>
            <w:r>
              <w:rPr>
                <w:rFonts w:hint="eastAsia" w:ascii="仿宋" w:hAnsi="仿宋" w:eastAsia="仿宋" w:cs="仿宋"/>
                <w:sz w:val="18"/>
                <w:szCs w:val="18"/>
              </w:rPr>
              <w:t>/</w:t>
            </w:r>
            <w:r>
              <w:rPr>
                <w:rFonts w:ascii="仿宋" w:hAnsi="仿宋" w:eastAsia="仿宋" w:cs="仿宋"/>
                <w:sz w:val="18"/>
                <w:szCs w:val="18"/>
              </w:rPr>
              <w:t>min</w:t>
            </w:r>
            <w:r>
              <w:rPr>
                <w:rFonts w:hint="eastAsia" w:ascii="仿宋" w:hAnsi="仿宋" w:eastAsia="仿宋" w:cs="仿宋"/>
                <w:sz w:val="18"/>
                <w:szCs w:val="18"/>
              </w:rPr>
              <w:t>时对色谱峰的峰型和分离度的影响，当流速为1</w:t>
            </w:r>
            <w:r>
              <w:rPr>
                <w:rFonts w:ascii="仿宋" w:hAnsi="仿宋" w:eastAsia="仿宋" w:cs="仿宋"/>
                <w:sz w:val="18"/>
                <w:szCs w:val="18"/>
              </w:rPr>
              <w:t>.0 mL</w:t>
            </w:r>
            <w:r>
              <w:rPr>
                <w:rFonts w:hint="eastAsia" w:ascii="仿宋" w:hAnsi="仿宋" w:eastAsia="仿宋" w:cs="仿宋"/>
                <w:sz w:val="18"/>
                <w:szCs w:val="18"/>
              </w:rPr>
              <w:t>/</w:t>
            </w:r>
            <w:r>
              <w:rPr>
                <w:rFonts w:ascii="仿宋" w:hAnsi="仿宋" w:eastAsia="仿宋" w:cs="仿宋"/>
                <w:sz w:val="18"/>
                <w:szCs w:val="18"/>
              </w:rPr>
              <w:t>min</w:t>
            </w:r>
            <w:r>
              <w:rPr>
                <w:rFonts w:hint="eastAsia" w:ascii="仿宋" w:hAnsi="仿宋" w:eastAsia="仿宋" w:cs="仿宋"/>
                <w:sz w:val="18"/>
                <w:szCs w:val="18"/>
              </w:rPr>
              <w:t>时，峰型最优且分离效果最好。</w:t>
            </w:r>
          </w:p>
        </w:tc>
        <w:tc>
          <w:tcPr>
            <w:tcW w:w="1071" w:type="dxa"/>
          </w:tcPr>
          <w:p w14:paraId="5B475B6A">
            <w:r>
              <w:rPr>
                <w:rFonts w:hint="eastAsia" w:ascii="仿宋" w:hAnsi="仿宋" w:eastAsia="仿宋" w:cs="宋体"/>
                <w:sz w:val="18"/>
                <w:szCs w:val="18"/>
              </w:rPr>
              <w:t>/</w:t>
            </w:r>
          </w:p>
        </w:tc>
      </w:tr>
    </w:tbl>
    <w:p w14:paraId="79E3C1C1">
      <w:pPr>
        <w:snapToGrid w:val="0"/>
        <w:jc w:val="left"/>
        <w:rPr>
          <w:rFonts w:ascii="仿宋" w:hAnsi="仿宋" w:eastAsia="仿宋" w:cs="仿宋"/>
          <w:kern w:val="0"/>
          <w:szCs w:val="21"/>
        </w:rPr>
      </w:pPr>
    </w:p>
    <w:p w14:paraId="318D0B44">
      <w:pPr>
        <w:numPr>
          <w:ilvl w:val="0"/>
          <w:numId w:val="3"/>
        </w:numPr>
        <w:snapToGrid w:val="0"/>
        <w:jc w:val="left"/>
        <w:rPr>
          <w:rFonts w:ascii="仿宋" w:hAnsi="仿宋" w:eastAsia="仿宋" w:cs="仿宋"/>
          <w:kern w:val="0"/>
          <w:szCs w:val="21"/>
        </w:rPr>
      </w:pPr>
      <w:r>
        <w:rPr>
          <w:rFonts w:hint="eastAsia" w:ascii="仿宋" w:hAnsi="仿宋" w:eastAsia="仿宋" w:cs="仿宋"/>
          <w:b/>
          <w:bCs/>
          <w:kern w:val="0"/>
          <w:szCs w:val="21"/>
        </w:rPr>
        <w:t>团体标准《化妆品中四氢甲基嘧啶羧酸的检验方法》</w:t>
      </w:r>
      <w:r>
        <w:rPr>
          <w:rFonts w:ascii="仿宋" w:hAnsi="仿宋" w:eastAsia="仿宋" w:cs="仿宋"/>
          <w:b/>
          <w:bCs/>
          <w:kern w:val="0"/>
          <w:szCs w:val="21"/>
        </w:rPr>
        <w:t>方法验证</w:t>
      </w:r>
      <w:r>
        <w:rPr>
          <w:rFonts w:ascii="仿宋" w:hAnsi="仿宋" w:eastAsia="仿宋" w:cs="仿宋"/>
          <w:kern w:val="0"/>
          <w:szCs w:val="21"/>
        </w:rPr>
        <w:t>，</w:t>
      </w:r>
      <w:r>
        <w:rPr>
          <w:rFonts w:hint="eastAsia" w:ascii="仿宋" w:hAnsi="仿宋" w:eastAsia="仿宋" w:cs="仿宋"/>
          <w:kern w:val="0"/>
          <w:szCs w:val="21"/>
        </w:rPr>
        <w:t>湖南水羊化妆品制造有限公司验证报告</w:t>
      </w:r>
      <w:r>
        <w:rPr>
          <w:rFonts w:ascii="仿宋" w:hAnsi="仿宋" w:eastAsia="仿宋" w:cs="仿宋"/>
          <w:kern w:val="0"/>
          <w:szCs w:val="21"/>
        </w:rPr>
        <w:t>见附</w:t>
      </w:r>
      <w:r>
        <w:rPr>
          <w:rFonts w:hint="eastAsia" w:ascii="仿宋" w:hAnsi="仿宋" w:eastAsia="仿宋" w:cs="仿宋"/>
          <w:kern w:val="0"/>
          <w:szCs w:val="21"/>
        </w:rPr>
        <w:t>件</w:t>
      </w:r>
      <w:r>
        <w:rPr>
          <w:rFonts w:ascii="仿宋" w:hAnsi="仿宋" w:eastAsia="仿宋" w:cs="仿宋"/>
          <w:kern w:val="0"/>
          <w:szCs w:val="21"/>
        </w:rPr>
        <w:t>1</w:t>
      </w:r>
      <w:r>
        <w:rPr>
          <w:rFonts w:hint="eastAsia" w:ascii="仿宋" w:hAnsi="仿宋" w:eastAsia="仿宋" w:cs="仿宋"/>
          <w:kern w:val="0"/>
          <w:szCs w:val="21"/>
        </w:rPr>
        <w:t>，</w:t>
      </w:r>
      <w:r>
        <w:rPr>
          <w:rFonts w:hint="eastAsia" w:ascii="仿宋" w:hAnsi="仿宋" w:eastAsia="仿宋" w:cs="仿宋"/>
          <w:szCs w:val="21"/>
        </w:rPr>
        <w:t>华熙生物科技股份有限公司验证报告见附件2、广州质量检验研究院验证报告见附件3。</w:t>
      </w:r>
    </w:p>
    <w:p w14:paraId="0AF5F6D0">
      <w:pPr>
        <w:pStyle w:val="2"/>
        <w:ind w:firstLine="0" w:firstLineChars="0"/>
      </w:pPr>
      <w:r>
        <w:object>
          <v:shape id="_x0000_i1025" o:spt="75" type="#_x0000_t75" style="height:52.8pt;width:76.2pt;" o:ole="t" filled="f" o:preferrelative="t" stroked="f" coordsize="21600,21600">
            <v:path/>
            <v:fill on="f" focussize="0,0"/>
            <v:stroke on="f" joinstyle="miter"/>
            <v:imagedata r:id="rId5" o:title=""/>
            <o:lock v:ext="edit" aspectratio="t"/>
            <w10:wrap type="none"/>
            <w10:anchorlock/>
          </v:shape>
          <o:OLEObject Type="Embed" ProgID="Acrobat.Document.DC" ShapeID="_x0000_i1025" DrawAspect="Icon" ObjectID="_1468075725" r:id="rId4">
            <o:LockedField>false</o:LockedField>
          </o:OLEObject>
        </w:object>
      </w:r>
    </w:p>
    <w:p w14:paraId="190A4B81">
      <w:pPr>
        <w:rPr>
          <w:lang w:val="sv-SE"/>
        </w:rPr>
      </w:pPr>
    </w:p>
    <w:p w14:paraId="3AFF4158">
      <w:r>
        <w:object>
          <v:shape id="_x0000_i1026" o:spt="75" type="#_x0000_t75" style="height:52.8pt;width:76.2pt;" o:ole="t" filled="f" o:preferrelative="t" stroked="f" coordsize="21600,21600">
            <v:path/>
            <v:fill on="f" focussize="0,0"/>
            <v:stroke on="f" joinstyle="miter"/>
            <v:imagedata r:id="rId7" o:title=""/>
            <o:lock v:ext="edit" aspectratio="t"/>
            <w10:wrap type="none"/>
            <w10:anchorlock/>
          </v:shape>
          <o:OLEObject Type="Embed" ProgID="Acrobat.Document.DC" ShapeID="_x0000_i1026" DrawAspect="Icon" ObjectID="_1468075726" r:id="rId6">
            <o:LockedField>false</o:LockedField>
          </o:OLEObject>
        </w:object>
      </w:r>
    </w:p>
    <w:p w14:paraId="6D7AB09F">
      <w:pPr>
        <w:pStyle w:val="2"/>
        <w:ind w:firstLine="480"/>
        <w:rPr>
          <w:lang w:val="en-US"/>
        </w:rPr>
      </w:pPr>
    </w:p>
    <w:p w14:paraId="16D6B3EF">
      <w:r>
        <w:object>
          <v:shape id="_x0000_i1027" o:spt="75" type="#_x0000_t75" style="height:52.8pt;width:76.2pt;" o:ole="t" filled="f" o:preferrelative="t" stroked="f" coordsize="21600,21600">
            <v:path/>
            <v:fill on="f" focussize="0,0"/>
            <v:stroke on="f" joinstyle="miter"/>
            <v:imagedata r:id="rId9" o:title=""/>
            <o:lock v:ext="edit" aspectratio="t"/>
            <w10:wrap type="none"/>
            <w10:anchorlock/>
          </v:shape>
          <o:OLEObject Type="Embed" ProgID="Acrobat.Document.DC" ShapeID="_x0000_i1027" DrawAspect="Icon" ObjectID="_1468075727" r:id="rId8">
            <o:LockedField>false</o:LockedField>
          </o:OLEObject>
        </w:object>
      </w:r>
    </w:p>
    <w:p w14:paraId="45C18827">
      <w:pPr>
        <w:pStyle w:val="2"/>
        <w:ind w:firstLine="480"/>
        <w:rPr>
          <w:lang w:val="en-US"/>
        </w:rPr>
      </w:pPr>
    </w:p>
    <w:p w14:paraId="2C912014">
      <w:pPr>
        <w:pStyle w:val="2"/>
        <w:spacing w:line="360" w:lineRule="auto"/>
        <w:ind w:firstLine="0" w:firstLineChars="0"/>
        <w:rPr>
          <w:rFonts w:ascii="仿宋" w:hAnsi="仿宋" w:eastAsia="仿宋" w:cs="仿宋"/>
          <w:b/>
          <w:bCs/>
          <w:kern w:val="0"/>
          <w:sz w:val="21"/>
          <w:szCs w:val="21"/>
          <w:lang w:val="en-US"/>
        </w:rPr>
      </w:pPr>
      <w:r>
        <w:rPr>
          <w:rFonts w:hint="eastAsia" w:ascii="仿宋" w:hAnsi="仿宋" w:eastAsia="仿宋" w:cs="仿宋"/>
          <w:b/>
          <w:bCs/>
          <w:kern w:val="0"/>
          <w:sz w:val="21"/>
          <w:szCs w:val="21"/>
          <w:lang w:val="en-US"/>
        </w:rPr>
        <w:t>3.主要试验（或验证）情况分析</w:t>
      </w:r>
    </w:p>
    <w:p w14:paraId="568865EC">
      <w:pPr>
        <w:pStyle w:val="2"/>
        <w:spacing w:line="360" w:lineRule="auto"/>
        <w:ind w:firstLine="420"/>
        <w:rPr>
          <w:rFonts w:ascii="仿宋" w:hAnsi="仿宋" w:eastAsia="仿宋" w:cs="仿宋"/>
          <w:kern w:val="0"/>
          <w:sz w:val="21"/>
          <w:szCs w:val="21"/>
          <w:lang w:val="en-US"/>
        </w:rPr>
      </w:pPr>
      <w:r>
        <w:rPr>
          <w:rFonts w:hint="eastAsia" w:ascii="仿宋" w:hAnsi="仿宋" w:eastAsia="仿宋" w:cs="仿宋"/>
          <w:kern w:val="0"/>
          <w:sz w:val="21"/>
          <w:szCs w:val="21"/>
          <w:lang w:val="en-US"/>
        </w:rPr>
        <w:t>方法可行性确认：为了更好的了解该方法在不同基质、不同实验室、不同操作人员使用时的情况，起草工作组</w:t>
      </w:r>
      <w:r>
        <w:rPr>
          <w:rFonts w:hint="eastAsia" w:ascii="仿宋" w:hAnsi="仿宋" w:eastAsia="仿宋" w:cs="仿宋"/>
          <w:sz w:val="21"/>
          <w:szCs w:val="21"/>
          <w:lang w:val="en-US"/>
        </w:rPr>
        <w:t>将在市面上收集到的不同基质的</w:t>
      </w:r>
      <w:r>
        <w:rPr>
          <w:rFonts w:hint="eastAsia" w:ascii="仿宋" w:hAnsi="仿宋" w:eastAsia="仿宋" w:cs="仿宋"/>
          <w:sz w:val="21"/>
          <w:szCs w:val="21"/>
          <w:lang w:val="zh-CN"/>
        </w:rPr>
        <w:t>产品</w:t>
      </w:r>
      <w:r>
        <w:rPr>
          <w:rFonts w:hint="eastAsia" w:ascii="仿宋" w:hAnsi="仿宋" w:eastAsia="仿宋" w:cs="仿宋"/>
          <w:sz w:val="21"/>
          <w:szCs w:val="21"/>
          <w:lang w:val="en-US"/>
        </w:rPr>
        <w:t>按照《化妆品中四氢甲基嘧啶羧酸的检验方法》团体标准草案进行检测,</w:t>
      </w:r>
      <w:r>
        <w:rPr>
          <w:rFonts w:hint="eastAsia" w:ascii="仿宋" w:hAnsi="仿宋" w:eastAsia="仿宋" w:cs="仿宋"/>
          <w:kern w:val="0"/>
          <w:sz w:val="21"/>
          <w:szCs w:val="21"/>
        </w:rPr>
        <w:t xml:space="preserve"> 湖南水羊化妆品制造有限公司</w:t>
      </w:r>
      <w:r>
        <w:rPr>
          <w:rFonts w:hint="eastAsia" w:ascii="仿宋" w:hAnsi="仿宋" w:eastAsia="仿宋" w:cs="仿宋"/>
          <w:sz w:val="21"/>
          <w:szCs w:val="21"/>
        </w:rPr>
        <w:t>（实验</w:t>
      </w:r>
      <w:r>
        <w:rPr>
          <w:rFonts w:hint="eastAsia" w:ascii="仿宋" w:hAnsi="仿宋" w:eastAsia="仿宋" w:cs="仿宋"/>
          <w:sz w:val="21"/>
          <w:szCs w:val="21"/>
          <w:lang w:val="zh-CN"/>
        </w:rPr>
        <w:t>室1）、华熙生物科技股份有限公司（实验室2）和广州质量检验研究院（实验室3）三家</w:t>
      </w:r>
      <w:r>
        <w:rPr>
          <w:rFonts w:hint="eastAsia" w:ascii="仿宋" w:hAnsi="仿宋" w:eastAsia="仿宋" w:cs="仿宋"/>
          <w:sz w:val="21"/>
          <w:szCs w:val="21"/>
        </w:rPr>
        <w:t>实验室共六位检验员参加了对相关产品的检验工作</w:t>
      </w:r>
      <w:r>
        <w:rPr>
          <w:rFonts w:hint="eastAsia" w:ascii="仿宋" w:hAnsi="仿宋" w:eastAsia="仿宋" w:cs="仿宋"/>
          <w:sz w:val="21"/>
          <w:szCs w:val="21"/>
          <w:lang w:val="en-US"/>
        </w:rPr>
        <w:t>，该实验由具体检测数据见表1所示。</w:t>
      </w:r>
    </w:p>
    <w:p w14:paraId="49BAF396">
      <w:pPr>
        <w:pStyle w:val="31"/>
        <w:tabs>
          <w:tab w:val="left" w:pos="839"/>
        </w:tabs>
        <w:spacing w:line="360" w:lineRule="auto"/>
        <w:ind w:left="420" w:firstLine="0" w:firstLineChars="0"/>
        <w:jc w:val="center"/>
        <w:rPr>
          <w:rFonts w:hAnsi="宋体" w:cs="宋体"/>
          <w:sz w:val="24"/>
          <w:szCs w:val="24"/>
        </w:rPr>
      </w:pPr>
      <w:r>
        <w:rPr>
          <w:rFonts w:hint="eastAsia" w:ascii="仿宋" w:hAnsi="仿宋" w:eastAsia="仿宋" w:cs="仿宋"/>
          <w:szCs w:val="21"/>
          <w:lang w:val="zh-CN"/>
        </w:rPr>
        <w:t>表</w:t>
      </w:r>
      <w:r>
        <w:rPr>
          <w:rFonts w:hint="eastAsia" w:ascii="仿宋" w:hAnsi="仿宋" w:eastAsia="仿宋" w:cs="仿宋"/>
          <w:szCs w:val="21"/>
        </w:rPr>
        <w:t>1</w:t>
      </w:r>
      <w:r>
        <w:rPr>
          <w:rFonts w:hint="eastAsia" w:ascii="仿宋" w:hAnsi="仿宋" w:eastAsia="仿宋" w:cs="仿宋"/>
          <w:szCs w:val="21"/>
          <w:lang w:val="zh-CN"/>
        </w:rPr>
        <w:t xml:space="preserve"> 三家公司实验室对不同基质产品的检测结果汇总</w:t>
      </w:r>
    </w:p>
    <w:tbl>
      <w:tblPr>
        <w:tblStyle w:val="12"/>
        <w:tblW w:w="8764" w:type="dxa"/>
        <w:jc w:val="center"/>
        <w:tblLayout w:type="fixed"/>
        <w:tblCellMar>
          <w:top w:w="0" w:type="dxa"/>
          <w:left w:w="108" w:type="dxa"/>
          <w:bottom w:w="0" w:type="dxa"/>
          <w:right w:w="108" w:type="dxa"/>
        </w:tblCellMar>
      </w:tblPr>
      <w:tblGrid>
        <w:gridCol w:w="1276"/>
        <w:gridCol w:w="1418"/>
        <w:gridCol w:w="1276"/>
        <w:gridCol w:w="1134"/>
        <w:gridCol w:w="1266"/>
        <w:gridCol w:w="1196"/>
        <w:gridCol w:w="1198"/>
      </w:tblGrid>
      <w:tr w14:paraId="4F9AEF59">
        <w:tblPrEx>
          <w:tblCellMar>
            <w:top w:w="0" w:type="dxa"/>
            <w:left w:w="108" w:type="dxa"/>
            <w:bottom w:w="0" w:type="dxa"/>
            <w:right w:w="108" w:type="dxa"/>
          </w:tblCellMar>
        </w:tblPrEx>
        <w:trPr>
          <w:trHeight w:val="702" w:hRule="atLeast"/>
          <w:jc w:val="center"/>
        </w:trPr>
        <w:tc>
          <w:tcPr>
            <w:tcW w:w="1276" w:type="dxa"/>
            <w:vMerge w:val="restart"/>
            <w:tcBorders>
              <w:top w:val="single" w:color="000000" w:sz="4" w:space="0"/>
              <w:left w:val="single" w:color="000000" w:sz="4" w:space="0"/>
              <w:right w:val="single" w:color="000000" w:sz="4" w:space="0"/>
              <w:tl2br w:val="single" w:color="000000" w:sz="4" w:space="0"/>
            </w:tcBorders>
            <w:noWrap/>
            <w:vAlign w:val="center"/>
          </w:tcPr>
          <w:p w14:paraId="241FAE11">
            <w:pPr>
              <w:widowControl/>
              <w:spacing w:line="480" w:lineRule="auto"/>
              <w:jc w:val="center"/>
              <w:textAlignment w:val="center"/>
              <w:rPr>
                <w:rStyle w:val="32"/>
                <w:rFonts w:hint="default" w:ascii="仿宋" w:hAnsi="仿宋" w:eastAsia="仿宋" w:cs="仿宋"/>
                <w:color w:val="auto"/>
                <w:kern w:val="0"/>
                <w:sz w:val="18"/>
                <w:szCs w:val="18"/>
                <w:vertAlign w:val="baseline"/>
                <w:lang w:bidi="ar"/>
              </w:rPr>
            </w:pPr>
            <w:r>
              <w:rPr>
                <w:rFonts w:hint="eastAsia" w:ascii="仿宋" w:hAnsi="仿宋" w:eastAsia="仿宋" w:cs="仿宋"/>
                <w:kern w:val="0"/>
                <w:sz w:val="18"/>
                <w:szCs w:val="18"/>
                <w:lang w:bidi="ar"/>
              </w:rPr>
              <w:t xml:space="preserve"> </w:t>
            </w:r>
            <w:r>
              <w:rPr>
                <w:rFonts w:ascii="仿宋" w:hAnsi="仿宋" w:eastAsia="仿宋" w:cs="仿宋"/>
                <w:kern w:val="0"/>
                <w:sz w:val="18"/>
                <w:szCs w:val="18"/>
                <w:lang w:bidi="ar"/>
              </w:rPr>
              <w:t xml:space="preserve"> </w:t>
            </w:r>
            <w:r>
              <w:rPr>
                <w:rFonts w:hint="eastAsia" w:ascii="仿宋" w:hAnsi="仿宋" w:eastAsia="仿宋" w:cs="仿宋"/>
                <w:kern w:val="0"/>
                <w:sz w:val="18"/>
                <w:szCs w:val="18"/>
                <w:lang w:bidi="ar"/>
              </w:rPr>
              <w:t>企业名称</w:t>
            </w:r>
          </w:p>
          <w:p w14:paraId="6E657D37">
            <w:pPr>
              <w:widowControl/>
              <w:spacing w:line="480" w:lineRule="auto"/>
              <w:textAlignment w:val="center"/>
              <w:rPr>
                <w:rFonts w:ascii="仿宋" w:hAnsi="仿宋" w:eastAsia="仿宋" w:cs="仿宋"/>
                <w:sz w:val="18"/>
                <w:szCs w:val="18"/>
              </w:rPr>
            </w:pPr>
            <w:r>
              <w:rPr>
                <w:rFonts w:hint="eastAsia" w:ascii="仿宋" w:hAnsi="仿宋" w:eastAsia="仿宋" w:cs="仿宋"/>
                <w:sz w:val="18"/>
                <w:szCs w:val="18"/>
              </w:rPr>
              <w:t>含量/%</w:t>
            </w:r>
          </w:p>
        </w:tc>
        <w:tc>
          <w:tcPr>
            <w:tcW w:w="2694" w:type="dxa"/>
            <w:gridSpan w:val="2"/>
            <w:tcBorders>
              <w:top w:val="single" w:color="000000" w:sz="4" w:space="0"/>
              <w:left w:val="single" w:color="000000" w:sz="4" w:space="0"/>
              <w:bottom w:val="single" w:color="000000" w:sz="4" w:space="0"/>
              <w:right w:val="single" w:color="auto" w:sz="4" w:space="0"/>
            </w:tcBorders>
            <w:vAlign w:val="center"/>
          </w:tcPr>
          <w:p w14:paraId="4681AC47">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实验室1</w:t>
            </w:r>
          </w:p>
        </w:tc>
        <w:tc>
          <w:tcPr>
            <w:tcW w:w="2400" w:type="dxa"/>
            <w:gridSpan w:val="2"/>
            <w:tcBorders>
              <w:top w:val="single" w:color="000000" w:sz="4" w:space="0"/>
              <w:left w:val="single" w:color="000000" w:sz="4" w:space="0"/>
              <w:bottom w:val="single" w:color="000000" w:sz="4" w:space="0"/>
              <w:right w:val="single" w:color="auto" w:sz="4" w:space="0"/>
            </w:tcBorders>
            <w:vAlign w:val="center"/>
          </w:tcPr>
          <w:p w14:paraId="77BAFF06">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实验室2</w:t>
            </w:r>
          </w:p>
        </w:tc>
        <w:tc>
          <w:tcPr>
            <w:tcW w:w="2394" w:type="dxa"/>
            <w:gridSpan w:val="2"/>
            <w:tcBorders>
              <w:top w:val="single" w:color="auto" w:sz="4" w:space="0"/>
              <w:left w:val="single" w:color="auto" w:sz="4" w:space="0"/>
              <w:bottom w:val="single" w:color="auto" w:sz="4" w:space="0"/>
              <w:right w:val="single" w:color="auto" w:sz="4" w:space="0"/>
            </w:tcBorders>
            <w:vAlign w:val="center"/>
          </w:tcPr>
          <w:p w14:paraId="5BD68436">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实验室3</w:t>
            </w:r>
          </w:p>
        </w:tc>
      </w:tr>
      <w:tr w14:paraId="30A34852">
        <w:tblPrEx>
          <w:tblCellMar>
            <w:top w:w="0" w:type="dxa"/>
            <w:left w:w="108" w:type="dxa"/>
            <w:bottom w:w="0" w:type="dxa"/>
            <w:right w:w="108" w:type="dxa"/>
          </w:tblCellMar>
        </w:tblPrEx>
        <w:trPr>
          <w:trHeight w:val="417" w:hRule="atLeast"/>
          <w:jc w:val="center"/>
        </w:trPr>
        <w:tc>
          <w:tcPr>
            <w:tcW w:w="1276" w:type="dxa"/>
            <w:vMerge w:val="continue"/>
            <w:tcBorders>
              <w:left w:val="single" w:color="000000" w:sz="4" w:space="0"/>
              <w:bottom w:val="single" w:color="000000" w:sz="4" w:space="0"/>
              <w:right w:val="single" w:color="000000" w:sz="4" w:space="0"/>
              <w:tl2br w:val="single" w:color="000000" w:sz="4" w:space="0"/>
            </w:tcBorders>
            <w:noWrap/>
            <w:vAlign w:val="center"/>
          </w:tcPr>
          <w:p w14:paraId="05DCFA1C">
            <w:pPr>
              <w:widowControl/>
              <w:jc w:val="center"/>
              <w:textAlignment w:val="center"/>
              <w:rPr>
                <w:rFonts w:ascii="仿宋" w:hAnsi="仿宋" w:eastAsia="仿宋" w:cs="仿宋"/>
                <w:sz w:val="18"/>
                <w:szCs w:val="18"/>
              </w:rPr>
            </w:pPr>
          </w:p>
        </w:tc>
        <w:tc>
          <w:tcPr>
            <w:tcW w:w="1418" w:type="dxa"/>
            <w:tcBorders>
              <w:top w:val="single" w:color="000000" w:sz="4" w:space="0"/>
              <w:left w:val="single" w:color="000000" w:sz="4" w:space="0"/>
              <w:bottom w:val="single" w:color="000000" w:sz="4" w:space="0"/>
              <w:right w:val="single" w:color="000000" w:sz="4" w:space="0"/>
            </w:tcBorders>
            <w:vAlign w:val="center"/>
          </w:tcPr>
          <w:p w14:paraId="0973B04F">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人员1</w:t>
            </w:r>
            <w:r>
              <w:rPr>
                <w:rFonts w:ascii="仿宋" w:hAnsi="仿宋" w:eastAsia="仿宋" w:cs="仿宋"/>
                <w:kern w:val="0"/>
                <w:sz w:val="18"/>
                <w:szCs w:val="18"/>
                <w:lang w:bidi="ar"/>
              </w:rPr>
              <w:t>*</w:t>
            </w:r>
          </w:p>
        </w:tc>
        <w:tc>
          <w:tcPr>
            <w:tcW w:w="1276" w:type="dxa"/>
            <w:tcBorders>
              <w:top w:val="single" w:color="000000" w:sz="4" w:space="0"/>
              <w:left w:val="single" w:color="000000" w:sz="4" w:space="0"/>
              <w:bottom w:val="single" w:color="000000" w:sz="4" w:space="0"/>
              <w:right w:val="single" w:color="000000" w:sz="4" w:space="0"/>
            </w:tcBorders>
            <w:vAlign w:val="center"/>
          </w:tcPr>
          <w:p w14:paraId="363F79A7">
            <w:pPr>
              <w:pStyle w:val="2"/>
              <w:spacing w:line="240" w:lineRule="auto"/>
              <w:ind w:firstLine="0" w:firstLineChars="0"/>
              <w:jc w:val="center"/>
              <w:rPr>
                <w:rFonts w:ascii="仿宋" w:hAnsi="仿宋" w:eastAsia="仿宋" w:cs="仿宋"/>
                <w:kern w:val="0"/>
                <w:sz w:val="18"/>
                <w:szCs w:val="18"/>
                <w:lang w:val="en-US" w:bidi="ar"/>
              </w:rPr>
            </w:pPr>
            <w:r>
              <w:rPr>
                <w:rFonts w:hint="eastAsia" w:ascii="仿宋" w:hAnsi="仿宋" w:eastAsia="仿宋" w:cs="仿宋"/>
                <w:kern w:val="0"/>
                <w:sz w:val="18"/>
                <w:szCs w:val="18"/>
                <w:lang w:bidi="ar"/>
              </w:rPr>
              <w:t>人员</w:t>
            </w:r>
            <w:r>
              <w:rPr>
                <w:rFonts w:ascii="仿宋" w:hAnsi="仿宋" w:eastAsia="仿宋" w:cs="仿宋"/>
                <w:kern w:val="0"/>
                <w:sz w:val="18"/>
                <w:szCs w:val="18"/>
                <w:lang w:bidi="ar"/>
              </w:rPr>
              <w:t>2</w:t>
            </w:r>
          </w:p>
        </w:tc>
        <w:tc>
          <w:tcPr>
            <w:tcW w:w="1134" w:type="dxa"/>
            <w:tcBorders>
              <w:top w:val="single" w:color="000000" w:sz="4" w:space="0"/>
              <w:left w:val="single" w:color="000000" w:sz="4" w:space="0"/>
              <w:bottom w:val="single" w:color="000000" w:sz="4" w:space="0"/>
              <w:right w:val="single" w:color="000000" w:sz="4" w:space="0"/>
            </w:tcBorders>
            <w:vAlign w:val="center"/>
          </w:tcPr>
          <w:p w14:paraId="3C2AC2ED">
            <w:pPr>
              <w:pStyle w:val="2"/>
              <w:spacing w:line="240" w:lineRule="auto"/>
              <w:ind w:firstLine="0" w:firstLineChars="0"/>
              <w:jc w:val="center"/>
              <w:rPr>
                <w:rFonts w:ascii="仿宋" w:hAnsi="仿宋" w:eastAsia="仿宋" w:cs="仿宋"/>
                <w:kern w:val="0"/>
                <w:sz w:val="18"/>
                <w:szCs w:val="18"/>
                <w:lang w:val="en-US" w:bidi="ar"/>
              </w:rPr>
            </w:pPr>
            <w:r>
              <w:rPr>
                <w:rFonts w:hint="eastAsia" w:ascii="仿宋" w:hAnsi="仿宋" w:eastAsia="仿宋" w:cs="仿宋"/>
                <w:kern w:val="0"/>
                <w:sz w:val="18"/>
                <w:szCs w:val="18"/>
                <w:lang w:bidi="ar"/>
              </w:rPr>
              <w:t>人员1</w:t>
            </w:r>
            <w:r>
              <w:rPr>
                <w:rFonts w:ascii="仿宋" w:hAnsi="仿宋" w:eastAsia="仿宋" w:cs="仿宋"/>
                <w:kern w:val="0"/>
                <w:sz w:val="18"/>
                <w:szCs w:val="18"/>
                <w:lang w:bidi="ar"/>
              </w:rPr>
              <w:t>*</w:t>
            </w:r>
          </w:p>
        </w:tc>
        <w:tc>
          <w:tcPr>
            <w:tcW w:w="1266" w:type="dxa"/>
            <w:tcBorders>
              <w:top w:val="single" w:color="auto" w:sz="4" w:space="0"/>
              <w:left w:val="single" w:color="000000" w:sz="4" w:space="0"/>
              <w:bottom w:val="single" w:color="000000" w:sz="4" w:space="0"/>
              <w:right w:val="single" w:color="000000" w:sz="4" w:space="0"/>
            </w:tcBorders>
            <w:vAlign w:val="center"/>
          </w:tcPr>
          <w:p w14:paraId="4F84CDF8">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人员</w:t>
            </w:r>
            <w:r>
              <w:rPr>
                <w:rFonts w:ascii="仿宋" w:hAnsi="仿宋" w:eastAsia="仿宋" w:cs="仿宋"/>
                <w:kern w:val="0"/>
                <w:sz w:val="18"/>
                <w:szCs w:val="18"/>
                <w:lang w:bidi="ar"/>
              </w:rPr>
              <w:t>2</w:t>
            </w:r>
          </w:p>
        </w:tc>
        <w:tc>
          <w:tcPr>
            <w:tcW w:w="1196" w:type="dxa"/>
            <w:tcBorders>
              <w:top w:val="single" w:color="auto" w:sz="4" w:space="0"/>
              <w:left w:val="single" w:color="000000" w:sz="4" w:space="0"/>
              <w:bottom w:val="single" w:color="000000" w:sz="4" w:space="0"/>
              <w:right w:val="single" w:color="000000" w:sz="4" w:space="0"/>
            </w:tcBorders>
            <w:vAlign w:val="center"/>
          </w:tcPr>
          <w:p w14:paraId="34DE9510">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人员1</w:t>
            </w:r>
            <w:r>
              <w:rPr>
                <w:rFonts w:ascii="仿宋" w:hAnsi="仿宋" w:eastAsia="仿宋" w:cs="仿宋"/>
                <w:kern w:val="0"/>
                <w:sz w:val="18"/>
                <w:szCs w:val="18"/>
                <w:lang w:bidi="ar"/>
              </w:rPr>
              <w:t>*</w:t>
            </w:r>
          </w:p>
        </w:tc>
        <w:tc>
          <w:tcPr>
            <w:tcW w:w="1198" w:type="dxa"/>
            <w:tcBorders>
              <w:top w:val="single" w:color="auto" w:sz="4" w:space="0"/>
              <w:left w:val="single" w:color="000000" w:sz="4" w:space="0"/>
              <w:bottom w:val="single" w:color="000000" w:sz="4" w:space="0"/>
              <w:right w:val="single" w:color="000000" w:sz="4" w:space="0"/>
            </w:tcBorders>
            <w:vAlign w:val="center"/>
          </w:tcPr>
          <w:p w14:paraId="5A0944DA">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人员</w:t>
            </w:r>
            <w:r>
              <w:rPr>
                <w:rFonts w:ascii="仿宋" w:hAnsi="仿宋" w:eastAsia="仿宋" w:cs="仿宋"/>
                <w:kern w:val="0"/>
                <w:sz w:val="18"/>
                <w:szCs w:val="18"/>
                <w:lang w:bidi="ar"/>
              </w:rPr>
              <w:t>2</w:t>
            </w:r>
          </w:p>
        </w:tc>
      </w:tr>
      <w:tr w14:paraId="04DBA021">
        <w:tblPrEx>
          <w:tblCellMar>
            <w:top w:w="0" w:type="dxa"/>
            <w:left w:w="108" w:type="dxa"/>
            <w:bottom w:w="0" w:type="dxa"/>
            <w:right w:w="108" w:type="dxa"/>
          </w:tblCellMar>
        </w:tblPrEx>
        <w:trPr>
          <w:trHeight w:val="437"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31A4590">
            <w:pPr>
              <w:widowControl/>
              <w:jc w:val="center"/>
              <w:textAlignment w:val="center"/>
              <w:rPr>
                <w:rFonts w:ascii="仿宋" w:hAnsi="仿宋" w:eastAsia="仿宋" w:cs="仿宋"/>
                <w:sz w:val="18"/>
                <w:szCs w:val="18"/>
              </w:rPr>
            </w:pPr>
            <w:r>
              <w:rPr>
                <w:rFonts w:hint="eastAsia" w:ascii="仿宋" w:hAnsi="仿宋" w:eastAsia="仿宋" w:cs="仿宋"/>
                <w:kern w:val="0"/>
                <w:sz w:val="18"/>
                <w:szCs w:val="18"/>
                <w:lang w:bidi="ar"/>
              </w:rPr>
              <w:t>精华油</w:t>
            </w:r>
            <w:r>
              <w:rPr>
                <w:rFonts w:ascii="仿宋" w:hAnsi="仿宋" w:eastAsia="仿宋" w:cs="仿宋"/>
                <w:kern w:val="0"/>
                <w:sz w:val="18"/>
                <w:szCs w:val="18"/>
                <w:lang w:bidi="ar"/>
              </w:rPr>
              <w:t xml:space="preserve"> </w:t>
            </w:r>
            <w:r>
              <w:rPr>
                <w:rFonts w:hint="eastAsia" w:ascii="仿宋" w:hAnsi="仿宋" w:eastAsia="仿宋" w:cs="仿宋"/>
                <w:kern w:val="0"/>
                <w:sz w:val="18"/>
                <w:szCs w:val="18"/>
                <w:lang w:bidi="ar"/>
              </w:rPr>
              <w:t>2.</w:t>
            </w:r>
            <w:r>
              <w:rPr>
                <w:rFonts w:ascii="仿宋" w:hAnsi="仿宋" w:eastAsia="仿宋" w:cs="仿宋"/>
                <w:kern w:val="0"/>
                <w:sz w:val="18"/>
                <w:szCs w:val="18"/>
                <w:lang w:bidi="ar"/>
              </w:rPr>
              <w:t>0%</w:t>
            </w:r>
          </w:p>
        </w:tc>
        <w:tc>
          <w:tcPr>
            <w:tcW w:w="1418" w:type="dxa"/>
            <w:tcBorders>
              <w:top w:val="single" w:color="000000" w:sz="4" w:space="0"/>
              <w:left w:val="single" w:color="000000" w:sz="4" w:space="0"/>
              <w:bottom w:val="single" w:color="000000" w:sz="4" w:space="0"/>
              <w:right w:val="single" w:color="000000" w:sz="4" w:space="0"/>
            </w:tcBorders>
            <w:vAlign w:val="center"/>
          </w:tcPr>
          <w:p w14:paraId="21EB5BA3">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.99</w:t>
            </w:r>
          </w:p>
        </w:tc>
        <w:tc>
          <w:tcPr>
            <w:tcW w:w="1276" w:type="dxa"/>
            <w:tcBorders>
              <w:top w:val="single" w:color="000000" w:sz="4" w:space="0"/>
              <w:left w:val="single" w:color="000000" w:sz="4" w:space="0"/>
              <w:bottom w:val="single" w:color="000000" w:sz="4" w:space="0"/>
              <w:right w:val="single" w:color="000000" w:sz="4" w:space="0"/>
            </w:tcBorders>
            <w:vAlign w:val="center"/>
          </w:tcPr>
          <w:p w14:paraId="5D274A24">
            <w:pPr>
              <w:widowControl/>
              <w:jc w:val="center"/>
              <w:textAlignment w:val="center"/>
              <w:rPr>
                <w:rFonts w:ascii="仿宋" w:hAnsi="仿宋" w:eastAsia="仿宋" w:cs="仿宋"/>
                <w:sz w:val="24"/>
                <w:szCs w:val="18"/>
              </w:rPr>
            </w:pPr>
            <w:r>
              <w:rPr>
                <w:rFonts w:hint="eastAsia" w:ascii="仿宋" w:hAnsi="仿宋" w:eastAsia="仿宋" w:cs="仿宋"/>
                <w:sz w:val="24"/>
                <w:szCs w:val="18"/>
              </w:rPr>
              <w:t>2</w:t>
            </w:r>
            <w:r>
              <w:rPr>
                <w:rFonts w:ascii="仿宋" w:hAnsi="仿宋" w:eastAsia="仿宋" w:cs="仿宋"/>
                <w:sz w:val="24"/>
                <w:szCs w:val="18"/>
              </w:rPr>
              <w:t>.01</w:t>
            </w:r>
          </w:p>
        </w:tc>
        <w:tc>
          <w:tcPr>
            <w:tcW w:w="1134" w:type="dxa"/>
            <w:tcBorders>
              <w:top w:val="single" w:color="000000" w:sz="4" w:space="0"/>
              <w:left w:val="single" w:color="000000" w:sz="4" w:space="0"/>
              <w:bottom w:val="single" w:color="000000" w:sz="4" w:space="0"/>
              <w:right w:val="single" w:color="000000" w:sz="4" w:space="0"/>
            </w:tcBorders>
            <w:vAlign w:val="center"/>
          </w:tcPr>
          <w:p w14:paraId="47543453">
            <w:pPr>
              <w:widowControl/>
              <w:jc w:val="center"/>
              <w:textAlignment w:val="center"/>
              <w:rPr>
                <w:rFonts w:ascii="仿宋" w:hAnsi="仿宋" w:eastAsia="仿宋" w:cs="仿宋"/>
                <w:sz w:val="24"/>
                <w:szCs w:val="18"/>
              </w:rPr>
            </w:pPr>
            <w:r>
              <w:rPr>
                <w:rFonts w:ascii="仿宋" w:hAnsi="仿宋" w:eastAsia="仿宋" w:cs="仿宋"/>
                <w:sz w:val="24"/>
                <w:szCs w:val="18"/>
              </w:rPr>
              <w:t>1.85</w:t>
            </w:r>
          </w:p>
        </w:tc>
        <w:tc>
          <w:tcPr>
            <w:tcW w:w="1266" w:type="dxa"/>
            <w:tcBorders>
              <w:top w:val="single" w:color="000000" w:sz="4" w:space="0"/>
              <w:left w:val="single" w:color="000000" w:sz="4" w:space="0"/>
              <w:bottom w:val="single" w:color="000000" w:sz="4" w:space="0"/>
              <w:right w:val="single" w:color="000000" w:sz="4" w:space="0"/>
            </w:tcBorders>
            <w:vAlign w:val="center"/>
          </w:tcPr>
          <w:p w14:paraId="0468278D">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.91</w:t>
            </w:r>
          </w:p>
        </w:tc>
        <w:tc>
          <w:tcPr>
            <w:tcW w:w="1196" w:type="dxa"/>
            <w:tcBorders>
              <w:top w:val="single" w:color="000000" w:sz="4" w:space="0"/>
              <w:left w:val="single" w:color="000000" w:sz="4" w:space="0"/>
              <w:bottom w:val="single" w:color="000000" w:sz="4" w:space="0"/>
              <w:right w:val="single" w:color="000000" w:sz="4" w:space="0"/>
            </w:tcBorders>
            <w:vAlign w:val="center"/>
          </w:tcPr>
          <w:p w14:paraId="2AC20612">
            <w:pPr>
              <w:widowControl/>
              <w:jc w:val="center"/>
              <w:textAlignment w:val="center"/>
              <w:rPr>
                <w:rFonts w:ascii="仿宋" w:hAnsi="仿宋" w:eastAsia="仿宋" w:cs="仿宋"/>
                <w:sz w:val="24"/>
                <w:szCs w:val="18"/>
              </w:rPr>
            </w:pPr>
            <w:r>
              <w:rPr>
                <w:rFonts w:hint="eastAsia" w:ascii="仿宋" w:hAnsi="仿宋" w:eastAsia="仿宋" w:cs="仿宋"/>
                <w:sz w:val="24"/>
                <w:szCs w:val="18"/>
              </w:rPr>
              <w:t>2</w:t>
            </w:r>
            <w:r>
              <w:rPr>
                <w:rFonts w:ascii="仿宋" w:hAnsi="仿宋" w:eastAsia="仿宋" w:cs="仿宋"/>
                <w:sz w:val="24"/>
                <w:szCs w:val="18"/>
              </w:rPr>
              <w:t>.02</w:t>
            </w:r>
          </w:p>
        </w:tc>
        <w:tc>
          <w:tcPr>
            <w:tcW w:w="1198" w:type="dxa"/>
            <w:tcBorders>
              <w:top w:val="single" w:color="000000" w:sz="4" w:space="0"/>
              <w:left w:val="single" w:color="000000" w:sz="4" w:space="0"/>
              <w:bottom w:val="single" w:color="000000" w:sz="4" w:space="0"/>
              <w:right w:val="single" w:color="000000" w:sz="4" w:space="0"/>
            </w:tcBorders>
            <w:vAlign w:val="center"/>
          </w:tcPr>
          <w:p w14:paraId="706F9CB4">
            <w:pPr>
              <w:widowControl/>
              <w:jc w:val="center"/>
              <w:textAlignment w:val="center"/>
              <w:rPr>
                <w:rFonts w:ascii="仿宋" w:hAnsi="仿宋" w:eastAsia="仿宋" w:cs="仿宋"/>
                <w:sz w:val="24"/>
                <w:szCs w:val="18"/>
              </w:rPr>
            </w:pPr>
            <w:r>
              <w:rPr>
                <w:rFonts w:hint="eastAsia" w:ascii="仿宋" w:hAnsi="仿宋" w:eastAsia="仿宋" w:cs="仿宋"/>
                <w:sz w:val="24"/>
                <w:szCs w:val="18"/>
              </w:rPr>
              <w:t>2</w:t>
            </w:r>
            <w:r>
              <w:rPr>
                <w:rFonts w:ascii="仿宋" w:hAnsi="仿宋" w:eastAsia="仿宋" w:cs="仿宋"/>
                <w:sz w:val="24"/>
                <w:szCs w:val="18"/>
              </w:rPr>
              <w:t>.01</w:t>
            </w:r>
          </w:p>
        </w:tc>
      </w:tr>
      <w:tr w14:paraId="7E2C816F">
        <w:tblPrEx>
          <w:tblCellMar>
            <w:top w:w="0" w:type="dxa"/>
            <w:left w:w="108" w:type="dxa"/>
            <w:bottom w:w="0" w:type="dxa"/>
            <w:right w:w="108" w:type="dxa"/>
          </w:tblCellMar>
        </w:tblPrEx>
        <w:trPr>
          <w:trHeight w:val="40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789AB37A">
            <w:pPr>
              <w:widowControl/>
              <w:jc w:val="center"/>
              <w:textAlignment w:val="center"/>
              <w:rPr>
                <w:rFonts w:ascii="仿宋" w:hAnsi="仿宋" w:eastAsia="仿宋" w:cs="仿宋"/>
                <w:sz w:val="18"/>
                <w:szCs w:val="18"/>
              </w:rPr>
            </w:pPr>
            <w:r>
              <w:rPr>
                <w:rFonts w:hint="eastAsia" w:ascii="仿宋" w:hAnsi="仿宋" w:eastAsia="仿宋" w:cs="仿宋"/>
                <w:sz w:val="18"/>
                <w:szCs w:val="18"/>
              </w:rPr>
              <w:t xml:space="preserve">乳液 </w:t>
            </w:r>
            <w:r>
              <w:rPr>
                <w:rFonts w:ascii="仿宋" w:hAnsi="仿宋" w:eastAsia="仿宋" w:cs="仿宋"/>
                <w:sz w:val="18"/>
                <w:szCs w:val="18"/>
              </w:rPr>
              <w:t>0.5%</w:t>
            </w:r>
          </w:p>
        </w:tc>
        <w:tc>
          <w:tcPr>
            <w:tcW w:w="1418" w:type="dxa"/>
            <w:tcBorders>
              <w:top w:val="single" w:color="000000" w:sz="4" w:space="0"/>
              <w:left w:val="single" w:color="000000" w:sz="4" w:space="0"/>
              <w:bottom w:val="single" w:color="000000" w:sz="4" w:space="0"/>
              <w:right w:val="single" w:color="000000" w:sz="4" w:space="0"/>
            </w:tcBorders>
            <w:vAlign w:val="center"/>
          </w:tcPr>
          <w:p w14:paraId="61E456F0">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.507</w:t>
            </w:r>
          </w:p>
        </w:tc>
        <w:tc>
          <w:tcPr>
            <w:tcW w:w="1276" w:type="dxa"/>
            <w:tcBorders>
              <w:top w:val="single" w:color="000000" w:sz="4" w:space="0"/>
              <w:left w:val="single" w:color="000000" w:sz="4" w:space="0"/>
              <w:bottom w:val="single" w:color="000000" w:sz="4" w:space="0"/>
              <w:right w:val="single" w:color="000000" w:sz="4" w:space="0"/>
            </w:tcBorders>
            <w:vAlign w:val="center"/>
          </w:tcPr>
          <w:p w14:paraId="0FE82CB4">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.515</w:t>
            </w:r>
          </w:p>
        </w:tc>
        <w:tc>
          <w:tcPr>
            <w:tcW w:w="1134" w:type="dxa"/>
            <w:tcBorders>
              <w:top w:val="single" w:color="000000" w:sz="4" w:space="0"/>
              <w:left w:val="single" w:color="000000" w:sz="4" w:space="0"/>
              <w:bottom w:val="single" w:color="000000" w:sz="4" w:space="0"/>
              <w:right w:val="single" w:color="000000" w:sz="4" w:space="0"/>
            </w:tcBorders>
            <w:vAlign w:val="center"/>
          </w:tcPr>
          <w:p w14:paraId="59079E00">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.454</w:t>
            </w:r>
          </w:p>
        </w:tc>
        <w:tc>
          <w:tcPr>
            <w:tcW w:w="1266" w:type="dxa"/>
            <w:tcBorders>
              <w:top w:val="single" w:color="000000" w:sz="4" w:space="0"/>
              <w:left w:val="single" w:color="000000" w:sz="4" w:space="0"/>
              <w:bottom w:val="single" w:color="000000" w:sz="4" w:space="0"/>
              <w:right w:val="single" w:color="000000" w:sz="4" w:space="0"/>
            </w:tcBorders>
            <w:vAlign w:val="center"/>
          </w:tcPr>
          <w:p w14:paraId="14455113">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.481</w:t>
            </w:r>
          </w:p>
        </w:tc>
        <w:tc>
          <w:tcPr>
            <w:tcW w:w="1196" w:type="dxa"/>
            <w:tcBorders>
              <w:top w:val="single" w:color="000000" w:sz="4" w:space="0"/>
              <w:left w:val="single" w:color="000000" w:sz="4" w:space="0"/>
              <w:bottom w:val="single" w:color="000000" w:sz="4" w:space="0"/>
              <w:right w:val="single" w:color="000000" w:sz="4" w:space="0"/>
            </w:tcBorders>
            <w:vAlign w:val="center"/>
          </w:tcPr>
          <w:p w14:paraId="42440F08">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.543</w:t>
            </w:r>
          </w:p>
        </w:tc>
        <w:tc>
          <w:tcPr>
            <w:tcW w:w="1198" w:type="dxa"/>
            <w:tcBorders>
              <w:top w:val="single" w:color="000000" w:sz="4" w:space="0"/>
              <w:left w:val="single" w:color="000000" w:sz="4" w:space="0"/>
              <w:bottom w:val="single" w:color="000000" w:sz="4" w:space="0"/>
              <w:right w:val="single" w:color="000000" w:sz="4" w:space="0"/>
            </w:tcBorders>
            <w:vAlign w:val="center"/>
          </w:tcPr>
          <w:p w14:paraId="48018A89">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.540</w:t>
            </w:r>
          </w:p>
        </w:tc>
      </w:tr>
      <w:tr w14:paraId="382C31D4">
        <w:tblPrEx>
          <w:tblCellMar>
            <w:top w:w="0" w:type="dxa"/>
            <w:left w:w="108" w:type="dxa"/>
            <w:bottom w:w="0" w:type="dxa"/>
            <w:right w:w="108" w:type="dxa"/>
          </w:tblCellMar>
        </w:tblPrEx>
        <w:trPr>
          <w:trHeight w:val="40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0C6E6D19">
            <w:pPr>
              <w:widowControl/>
              <w:jc w:val="center"/>
              <w:textAlignment w:val="center"/>
              <w:rPr>
                <w:rFonts w:ascii="仿宋" w:hAnsi="仿宋" w:eastAsia="仿宋" w:cs="仿宋"/>
                <w:sz w:val="18"/>
                <w:szCs w:val="18"/>
              </w:rPr>
            </w:pPr>
            <w:r>
              <w:rPr>
                <w:rFonts w:hint="eastAsia" w:ascii="仿宋" w:hAnsi="仿宋" w:eastAsia="仿宋" w:cs="仿宋"/>
                <w:sz w:val="18"/>
                <w:szCs w:val="18"/>
              </w:rPr>
              <w:t xml:space="preserve">膏霜 </w:t>
            </w:r>
            <w:r>
              <w:rPr>
                <w:rFonts w:ascii="仿宋" w:hAnsi="仿宋" w:eastAsia="仿宋" w:cs="仿宋"/>
                <w:sz w:val="18"/>
                <w:szCs w:val="18"/>
              </w:rPr>
              <w:t>0.5%</w:t>
            </w:r>
          </w:p>
        </w:tc>
        <w:tc>
          <w:tcPr>
            <w:tcW w:w="1418" w:type="dxa"/>
            <w:tcBorders>
              <w:top w:val="single" w:color="000000" w:sz="4" w:space="0"/>
              <w:left w:val="single" w:color="000000" w:sz="4" w:space="0"/>
              <w:bottom w:val="single" w:color="000000" w:sz="4" w:space="0"/>
              <w:right w:val="single" w:color="000000" w:sz="4" w:space="0"/>
            </w:tcBorders>
            <w:vAlign w:val="center"/>
          </w:tcPr>
          <w:p w14:paraId="035C0F9C">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.488</w:t>
            </w:r>
          </w:p>
        </w:tc>
        <w:tc>
          <w:tcPr>
            <w:tcW w:w="1276" w:type="dxa"/>
            <w:tcBorders>
              <w:top w:val="single" w:color="000000" w:sz="4" w:space="0"/>
              <w:left w:val="single" w:color="000000" w:sz="4" w:space="0"/>
              <w:bottom w:val="single" w:color="000000" w:sz="4" w:space="0"/>
              <w:right w:val="single" w:color="000000" w:sz="4" w:space="0"/>
            </w:tcBorders>
            <w:vAlign w:val="center"/>
          </w:tcPr>
          <w:p w14:paraId="7DCF77A2">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.480</w:t>
            </w:r>
          </w:p>
        </w:tc>
        <w:tc>
          <w:tcPr>
            <w:tcW w:w="1134" w:type="dxa"/>
            <w:tcBorders>
              <w:top w:val="single" w:color="000000" w:sz="4" w:space="0"/>
              <w:left w:val="single" w:color="000000" w:sz="4" w:space="0"/>
              <w:bottom w:val="single" w:color="000000" w:sz="4" w:space="0"/>
              <w:right w:val="single" w:color="000000" w:sz="4" w:space="0"/>
            </w:tcBorders>
            <w:vAlign w:val="center"/>
          </w:tcPr>
          <w:p w14:paraId="1B2D8940">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.474</w:t>
            </w:r>
          </w:p>
        </w:tc>
        <w:tc>
          <w:tcPr>
            <w:tcW w:w="1266" w:type="dxa"/>
            <w:tcBorders>
              <w:top w:val="single" w:color="000000" w:sz="4" w:space="0"/>
              <w:left w:val="single" w:color="000000" w:sz="4" w:space="0"/>
              <w:bottom w:val="single" w:color="000000" w:sz="4" w:space="0"/>
              <w:right w:val="single" w:color="000000" w:sz="4" w:space="0"/>
            </w:tcBorders>
            <w:vAlign w:val="center"/>
          </w:tcPr>
          <w:p w14:paraId="3CF7186B">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.482</w:t>
            </w:r>
          </w:p>
        </w:tc>
        <w:tc>
          <w:tcPr>
            <w:tcW w:w="1196" w:type="dxa"/>
            <w:tcBorders>
              <w:top w:val="single" w:color="000000" w:sz="4" w:space="0"/>
              <w:left w:val="single" w:color="000000" w:sz="4" w:space="0"/>
              <w:bottom w:val="single" w:color="000000" w:sz="4" w:space="0"/>
              <w:right w:val="single" w:color="000000" w:sz="4" w:space="0"/>
            </w:tcBorders>
            <w:vAlign w:val="center"/>
          </w:tcPr>
          <w:p w14:paraId="6E70953D">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.536</w:t>
            </w:r>
          </w:p>
        </w:tc>
        <w:tc>
          <w:tcPr>
            <w:tcW w:w="1198" w:type="dxa"/>
            <w:tcBorders>
              <w:top w:val="single" w:color="000000" w:sz="4" w:space="0"/>
              <w:left w:val="single" w:color="000000" w:sz="4" w:space="0"/>
              <w:bottom w:val="single" w:color="000000" w:sz="4" w:space="0"/>
              <w:right w:val="single" w:color="000000" w:sz="4" w:space="0"/>
            </w:tcBorders>
            <w:vAlign w:val="center"/>
          </w:tcPr>
          <w:p w14:paraId="701A333A">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.522</w:t>
            </w:r>
          </w:p>
        </w:tc>
      </w:tr>
      <w:tr w14:paraId="3E1E532A">
        <w:tblPrEx>
          <w:tblCellMar>
            <w:top w:w="0" w:type="dxa"/>
            <w:left w:w="108" w:type="dxa"/>
            <w:bottom w:w="0" w:type="dxa"/>
            <w:right w:w="108" w:type="dxa"/>
          </w:tblCellMar>
        </w:tblPrEx>
        <w:trPr>
          <w:trHeight w:val="40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1280724D">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精华液 1</w:t>
            </w:r>
            <w:r>
              <w:rPr>
                <w:rFonts w:ascii="仿宋" w:hAnsi="仿宋" w:eastAsia="仿宋" w:cs="仿宋"/>
                <w:kern w:val="0"/>
                <w:sz w:val="18"/>
                <w:szCs w:val="18"/>
                <w:lang w:bidi="ar"/>
              </w:rPr>
              <w:t>.0%</w:t>
            </w:r>
          </w:p>
        </w:tc>
        <w:tc>
          <w:tcPr>
            <w:tcW w:w="1418" w:type="dxa"/>
            <w:tcBorders>
              <w:top w:val="single" w:color="000000" w:sz="4" w:space="0"/>
              <w:left w:val="single" w:color="000000" w:sz="4" w:space="0"/>
              <w:bottom w:val="single" w:color="000000" w:sz="4" w:space="0"/>
              <w:right w:val="single" w:color="000000" w:sz="4" w:space="0"/>
            </w:tcBorders>
            <w:noWrap/>
            <w:vAlign w:val="center"/>
          </w:tcPr>
          <w:p w14:paraId="64ADB71B">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.990</w:t>
            </w:r>
          </w:p>
        </w:tc>
        <w:tc>
          <w:tcPr>
            <w:tcW w:w="1276" w:type="dxa"/>
            <w:tcBorders>
              <w:top w:val="single" w:color="000000" w:sz="4" w:space="0"/>
              <w:left w:val="single" w:color="000000" w:sz="4" w:space="0"/>
              <w:bottom w:val="single" w:color="000000" w:sz="4" w:space="0"/>
              <w:right w:val="single" w:color="000000" w:sz="4" w:space="0"/>
            </w:tcBorders>
            <w:vAlign w:val="center"/>
          </w:tcPr>
          <w:p w14:paraId="77567D6B">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.01</w:t>
            </w:r>
          </w:p>
        </w:tc>
        <w:tc>
          <w:tcPr>
            <w:tcW w:w="1134" w:type="dxa"/>
            <w:tcBorders>
              <w:top w:val="single" w:color="000000" w:sz="4" w:space="0"/>
              <w:left w:val="single" w:color="000000" w:sz="4" w:space="0"/>
              <w:bottom w:val="single" w:color="000000" w:sz="4" w:space="0"/>
              <w:right w:val="single" w:color="000000" w:sz="4" w:space="0"/>
            </w:tcBorders>
            <w:vAlign w:val="center"/>
          </w:tcPr>
          <w:p w14:paraId="4C166051">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.914</w:t>
            </w:r>
          </w:p>
        </w:tc>
        <w:tc>
          <w:tcPr>
            <w:tcW w:w="1266" w:type="dxa"/>
            <w:tcBorders>
              <w:top w:val="single" w:color="000000" w:sz="4" w:space="0"/>
              <w:left w:val="single" w:color="000000" w:sz="4" w:space="0"/>
              <w:bottom w:val="single" w:color="000000" w:sz="4" w:space="0"/>
              <w:right w:val="single" w:color="000000" w:sz="4" w:space="0"/>
            </w:tcBorders>
            <w:vAlign w:val="center"/>
          </w:tcPr>
          <w:p w14:paraId="1179D361">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.914</w:t>
            </w:r>
          </w:p>
        </w:tc>
        <w:tc>
          <w:tcPr>
            <w:tcW w:w="1196" w:type="dxa"/>
            <w:tcBorders>
              <w:top w:val="single" w:color="000000" w:sz="4" w:space="0"/>
              <w:left w:val="single" w:color="000000" w:sz="4" w:space="0"/>
              <w:bottom w:val="single" w:color="000000" w:sz="4" w:space="0"/>
              <w:right w:val="single" w:color="000000" w:sz="4" w:space="0"/>
            </w:tcBorders>
            <w:vAlign w:val="center"/>
          </w:tcPr>
          <w:p w14:paraId="09AEDC73">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.06</w:t>
            </w:r>
          </w:p>
        </w:tc>
        <w:tc>
          <w:tcPr>
            <w:tcW w:w="1198" w:type="dxa"/>
            <w:tcBorders>
              <w:top w:val="single" w:color="000000" w:sz="4" w:space="0"/>
              <w:left w:val="single" w:color="000000" w:sz="4" w:space="0"/>
              <w:bottom w:val="single" w:color="000000" w:sz="4" w:space="0"/>
              <w:right w:val="single" w:color="000000" w:sz="4" w:space="0"/>
            </w:tcBorders>
            <w:vAlign w:val="center"/>
          </w:tcPr>
          <w:p w14:paraId="144BE1B3">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.07</w:t>
            </w:r>
          </w:p>
        </w:tc>
      </w:tr>
      <w:tr w14:paraId="01B6D207">
        <w:tblPrEx>
          <w:tblCellMar>
            <w:top w:w="0" w:type="dxa"/>
            <w:left w:w="108" w:type="dxa"/>
            <w:bottom w:w="0" w:type="dxa"/>
            <w:right w:w="108" w:type="dxa"/>
          </w:tblCellMar>
        </w:tblPrEx>
        <w:trPr>
          <w:trHeight w:val="400" w:hRule="atLeast"/>
          <w:jc w:val="center"/>
        </w:trPr>
        <w:tc>
          <w:tcPr>
            <w:tcW w:w="1276" w:type="dxa"/>
            <w:tcBorders>
              <w:top w:val="single" w:color="000000" w:sz="4" w:space="0"/>
              <w:left w:val="single" w:color="000000" w:sz="4" w:space="0"/>
              <w:bottom w:val="single" w:color="000000" w:sz="4" w:space="0"/>
              <w:right w:val="single" w:color="000000" w:sz="4" w:space="0"/>
            </w:tcBorders>
            <w:vAlign w:val="center"/>
          </w:tcPr>
          <w:p w14:paraId="2C694282">
            <w:pPr>
              <w:widowControl/>
              <w:jc w:val="center"/>
              <w:textAlignment w:val="center"/>
              <w:rPr>
                <w:rFonts w:ascii="仿宋" w:hAnsi="仿宋" w:eastAsia="仿宋" w:cs="仿宋"/>
                <w:sz w:val="18"/>
                <w:szCs w:val="18"/>
              </w:rPr>
            </w:pPr>
            <w:r>
              <w:rPr>
                <w:rFonts w:hint="eastAsia" w:ascii="仿宋" w:hAnsi="仿宋" w:eastAsia="仿宋" w:cs="仿宋"/>
                <w:sz w:val="18"/>
                <w:szCs w:val="18"/>
              </w:rPr>
              <w:t xml:space="preserve">卸妆膏 </w:t>
            </w:r>
            <w:r>
              <w:rPr>
                <w:rFonts w:ascii="仿宋" w:hAnsi="仿宋" w:eastAsia="仿宋" w:cs="仿宋"/>
                <w:sz w:val="18"/>
                <w:szCs w:val="18"/>
              </w:rPr>
              <w:t>0.5%</w:t>
            </w:r>
          </w:p>
          <w:p w14:paraId="5D293D4E">
            <w:pPr>
              <w:widowControl/>
              <w:jc w:val="center"/>
              <w:textAlignment w:val="center"/>
              <w:rPr>
                <w:rFonts w:ascii="仿宋" w:hAnsi="仿宋" w:eastAsia="仿宋" w:cs="仿宋"/>
                <w:sz w:val="18"/>
                <w:szCs w:val="18"/>
              </w:rPr>
            </w:pPr>
            <w:r>
              <w:rPr>
                <w:rFonts w:hint="eastAsia" w:ascii="仿宋" w:hAnsi="仿宋" w:eastAsia="仿宋" w:cs="仿宋"/>
                <w:sz w:val="18"/>
                <w:szCs w:val="18"/>
              </w:rPr>
              <w:t>（蜡基类）</w:t>
            </w:r>
          </w:p>
        </w:tc>
        <w:tc>
          <w:tcPr>
            <w:tcW w:w="1418" w:type="dxa"/>
            <w:tcBorders>
              <w:top w:val="single" w:color="000000" w:sz="4" w:space="0"/>
              <w:left w:val="single" w:color="000000" w:sz="4" w:space="0"/>
              <w:bottom w:val="single" w:color="000000" w:sz="4" w:space="0"/>
              <w:right w:val="single" w:color="000000" w:sz="4" w:space="0"/>
            </w:tcBorders>
            <w:noWrap/>
            <w:vAlign w:val="center"/>
          </w:tcPr>
          <w:p w14:paraId="1221CF80">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.498</w:t>
            </w:r>
          </w:p>
        </w:tc>
        <w:tc>
          <w:tcPr>
            <w:tcW w:w="1276" w:type="dxa"/>
            <w:tcBorders>
              <w:top w:val="single" w:color="000000" w:sz="4" w:space="0"/>
              <w:left w:val="single" w:color="000000" w:sz="4" w:space="0"/>
              <w:bottom w:val="single" w:color="000000" w:sz="4" w:space="0"/>
              <w:right w:val="single" w:color="000000" w:sz="4" w:space="0"/>
            </w:tcBorders>
            <w:vAlign w:val="center"/>
          </w:tcPr>
          <w:p w14:paraId="36222623">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.461</w:t>
            </w:r>
          </w:p>
        </w:tc>
        <w:tc>
          <w:tcPr>
            <w:tcW w:w="1134" w:type="dxa"/>
            <w:tcBorders>
              <w:top w:val="single" w:color="000000" w:sz="4" w:space="0"/>
              <w:left w:val="single" w:color="000000" w:sz="4" w:space="0"/>
              <w:bottom w:val="single" w:color="000000" w:sz="4" w:space="0"/>
              <w:right w:val="single" w:color="000000" w:sz="4" w:space="0"/>
            </w:tcBorders>
            <w:vAlign w:val="center"/>
          </w:tcPr>
          <w:p w14:paraId="571DCEE0">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.458</w:t>
            </w:r>
          </w:p>
        </w:tc>
        <w:tc>
          <w:tcPr>
            <w:tcW w:w="1266" w:type="dxa"/>
            <w:tcBorders>
              <w:top w:val="single" w:color="000000" w:sz="4" w:space="0"/>
              <w:left w:val="single" w:color="000000" w:sz="4" w:space="0"/>
              <w:bottom w:val="single" w:color="000000" w:sz="4" w:space="0"/>
              <w:right w:val="single" w:color="000000" w:sz="4" w:space="0"/>
            </w:tcBorders>
            <w:vAlign w:val="center"/>
          </w:tcPr>
          <w:p w14:paraId="2D965020">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.471</w:t>
            </w:r>
          </w:p>
        </w:tc>
        <w:tc>
          <w:tcPr>
            <w:tcW w:w="1196" w:type="dxa"/>
            <w:tcBorders>
              <w:top w:val="single" w:color="000000" w:sz="4" w:space="0"/>
              <w:left w:val="single" w:color="000000" w:sz="4" w:space="0"/>
              <w:bottom w:val="single" w:color="000000" w:sz="4" w:space="0"/>
              <w:right w:val="single" w:color="000000" w:sz="4" w:space="0"/>
            </w:tcBorders>
            <w:vAlign w:val="center"/>
          </w:tcPr>
          <w:p w14:paraId="7A8CB2EA">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.504</w:t>
            </w:r>
          </w:p>
        </w:tc>
        <w:tc>
          <w:tcPr>
            <w:tcW w:w="1198" w:type="dxa"/>
            <w:tcBorders>
              <w:top w:val="single" w:color="000000" w:sz="4" w:space="0"/>
              <w:left w:val="single" w:color="000000" w:sz="4" w:space="0"/>
              <w:bottom w:val="single" w:color="000000" w:sz="4" w:space="0"/>
              <w:right w:val="single" w:color="000000" w:sz="4" w:space="0"/>
            </w:tcBorders>
            <w:vAlign w:val="center"/>
          </w:tcPr>
          <w:p w14:paraId="02B8AC4E">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.505</w:t>
            </w:r>
          </w:p>
        </w:tc>
      </w:tr>
    </w:tbl>
    <w:p w14:paraId="5EBBBE79">
      <w:pPr>
        <w:pStyle w:val="31"/>
        <w:tabs>
          <w:tab w:val="left" w:pos="839"/>
        </w:tabs>
        <w:spacing w:line="360" w:lineRule="auto"/>
        <w:ind w:left="0" w:leftChars="0" w:firstLine="420" w:firstLineChars="200"/>
        <w:rPr>
          <w:rFonts w:hint="eastAsia" w:ascii="仿宋" w:hAnsi="仿宋" w:eastAsia="仿宋" w:cs="仿宋"/>
          <w:szCs w:val="21"/>
        </w:rPr>
      </w:pPr>
      <w:r>
        <w:rPr>
          <w:rFonts w:hint="eastAsia" w:ascii="仿宋" w:hAnsi="仿宋" w:eastAsia="仿宋" w:cs="仿宋"/>
          <w:szCs w:val="21"/>
        </w:rPr>
        <w:t>注：人员1测试所得的含量值为两次平行测定的平均值。</w:t>
      </w:r>
    </w:p>
    <w:p w14:paraId="5DA41808">
      <w:pPr>
        <w:pStyle w:val="31"/>
        <w:tabs>
          <w:tab w:val="left" w:pos="839"/>
        </w:tabs>
        <w:spacing w:line="360" w:lineRule="auto"/>
        <w:ind w:left="0" w:leftChars="0" w:firstLine="420" w:firstLineChars="200"/>
        <w:rPr>
          <w:rFonts w:ascii="仿宋" w:hAnsi="仿宋" w:eastAsia="仿宋" w:cs="仿宋"/>
          <w:szCs w:val="21"/>
        </w:rPr>
      </w:pPr>
      <w:r>
        <w:rPr>
          <w:rFonts w:hint="eastAsia" w:ascii="仿宋" w:hAnsi="仿宋" w:eastAsia="仿宋" w:cs="仿宋"/>
          <w:szCs w:val="21"/>
        </w:rPr>
        <w:t>综合表1中数据，三家实验室在对5种不同基底的化妆品样品中依克多因含量测定时，测量值均与添加量基本保持一致，相对偏差均在1</w:t>
      </w:r>
      <w:r>
        <w:rPr>
          <w:rFonts w:ascii="仿宋" w:hAnsi="仿宋" w:eastAsia="仿宋" w:cs="仿宋"/>
          <w:szCs w:val="21"/>
        </w:rPr>
        <w:t>0%</w:t>
      </w:r>
      <w:r>
        <w:rPr>
          <w:rFonts w:hint="eastAsia" w:ascii="仿宋" w:hAnsi="仿宋" w:eastAsia="仿宋" w:cs="仿宋"/>
          <w:szCs w:val="21"/>
        </w:rPr>
        <w:t>以内，表明该方法具有广泛的适应性。</w:t>
      </w:r>
    </w:p>
    <w:p w14:paraId="7B3AD24D">
      <w:pPr>
        <w:pStyle w:val="31"/>
        <w:tabs>
          <w:tab w:val="left" w:pos="839"/>
        </w:tabs>
        <w:spacing w:line="360" w:lineRule="auto"/>
        <w:ind w:left="0" w:leftChars="0" w:firstLine="420" w:firstLineChars="200"/>
        <w:rPr>
          <w:rFonts w:ascii="仿宋" w:hAnsi="仿宋" w:eastAsia="仿宋" w:cs="仿宋"/>
          <w:szCs w:val="21"/>
          <w:lang w:val="zh-CN"/>
        </w:rPr>
      </w:pPr>
      <w:r>
        <w:rPr>
          <w:rFonts w:hint="eastAsia" w:ascii="仿宋" w:hAnsi="仿宋" w:eastAsia="仿宋" w:cs="仿宋"/>
          <w:szCs w:val="21"/>
        </w:rPr>
        <w:t>此外，三家实验室还进行了方法验证工作，采用同一个批次的以上产品进行了对比试验，对本方法的检出限、定量限、重现性、加标回收率进行了验证，验证结果统计情况见表2。</w:t>
      </w:r>
    </w:p>
    <w:p w14:paraId="1AA2BFA6">
      <w:pPr>
        <w:pStyle w:val="31"/>
        <w:tabs>
          <w:tab w:val="left" w:pos="839"/>
        </w:tabs>
        <w:spacing w:line="360" w:lineRule="auto"/>
        <w:ind w:left="420" w:firstLine="0" w:firstLineChars="0"/>
        <w:jc w:val="center"/>
        <w:rPr>
          <w:rFonts w:ascii="仿宋" w:hAnsi="仿宋" w:eastAsia="仿宋" w:cs="仿宋"/>
          <w:szCs w:val="21"/>
          <w:lang w:val="zh-CN"/>
        </w:rPr>
      </w:pPr>
      <w:r>
        <w:rPr>
          <w:rFonts w:hint="eastAsia" w:ascii="仿宋" w:hAnsi="仿宋" w:eastAsia="仿宋" w:cs="仿宋"/>
          <w:szCs w:val="21"/>
          <w:lang w:val="zh-CN"/>
        </w:rPr>
        <w:t>表</w:t>
      </w:r>
      <w:r>
        <w:rPr>
          <w:rFonts w:hint="eastAsia" w:ascii="仿宋" w:hAnsi="仿宋" w:eastAsia="仿宋" w:cs="仿宋"/>
          <w:szCs w:val="21"/>
        </w:rPr>
        <w:t>2</w:t>
      </w:r>
      <w:r>
        <w:rPr>
          <w:rFonts w:hint="eastAsia" w:ascii="仿宋" w:hAnsi="仿宋" w:eastAsia="仿宋" w:cs="仿宋"/>
          <w:szCs w:val="21"/>
          <w:lang w:val="zh-CN"/>
        </w:rPr>
        <w:t xml:space="preserve"> </w:t>
      </w:r>
      <w:r>
        <w:rPr>
          <w:rFonts w:hint="eastAsia" w:ascii="仿宋" w:hAnsi="仿宋" w:eastAsia="仿宋" w:cs="仿宋"/>
          <w:szCs w:val="21"/>
        </w:rPr>
        <w:t>实验室间的方法学验证</w:t>
      </w:r>
      <w:r>
        <w:rPr>
          <w:rFonts w:hint="eastAsia" w:ascii="仿宋" w:hAnsi="仿宋" w:eastAsia="仿宋" w:cs="仿宋"/>
          <w:szCs w:val="21"/>
          <w:lang w:val="zh-CN"/>
        </w:rPr>
        <w:t>结果汇总</w:t>
      </w:r>
    </w:p>
    <w:tbl>
      <w:tblPr>
        <w:tblStyle w:val="12"/>
        <w:tblW w:w="8665" w:type="dxa"/>
        <w:jc w:val="center"/>
        <w:tblLayout w:type="fixed"/>
        <w:tblCellMar>
          <w:top w:w="0" w:type="dxa"/>
          <w:left w:w="108" w:type="dxa"/>
          <w:bottom w:w="0" w:type="dxa"/>
          <w:right w:w="108" w:type="dxa"/>
        </w:tblCellMar>
      </w:tblPr>
      <w:tblGrid>
        <w:gridCol w:w="2122"/>
        <w:gridCol w:w="2268"/>
        <w:gridCol w:w="2126"/>
        <w:gridCol w:w="2149"/>
      </w:tblGrid>
      <w:tr w14:paraId="35B5A8F8">
        <w:tblPrEx>
          <w:tblCellMar>
            <w:top w:w="0" w:type="dxa"/>
            <w:left w:w="108" w:type="dxa"/>
            <w:bottom w:w="0" w:type="dxa"/>
            <w:right w:w="108" w:type="dxa"/>
          </w:tblCellMar>
        </w:tblPrEx>
        <w:trPr>
          <w:trHeight w:val="603" w:hRule="atLeast"/>
          <w:jc w:val="center"/>
        </w:trPr>
        <w:tc>
          <w:tcPr>
            <w:tcW w:w="2122" w:type="dxa"/>
            <w:tcBorders>
              <w:top w:val="single" w:color="000000" w:sz="4" w:space="0"/>
              <w:left w:val="single" w:color="000000" w:sz="4" w:space="0"/>
              <w:right w:val="single" w:color="000000" w:sz="4" w:space="0"/>
              <w:tl2br w:val="single" w:color="000000" w:sz="4" w:space="0"/>
            </w:tcBorders>
            <w:noWrap/>
            <w:vAlign w:val="center"/>
          </w:tcPr>
          <w:p w14:paraId="709EF787">
            <w:pPr>
              <w:widowControl/>
              <w:ind w:firstLine="900" w:firstLineChars="500"/>
              <w:jc w:val="left"/>
              <w:textAlignment w:val="center"/>
              <w:rPr>
                <w:rStyle w:val="32"/>
                <w:rFonts w:hint="default" w:ascii="仿宋" w:hAnsi="仿宋" w:eastAsia="仿宋" w:cs="仿宋"/>
                <w:color w:val="auto"/>
                <w:sz w:val="18"/>
                <w:szCs w:val="18"/>
                <w:lang w:bidi="ar"/>
              </w:rPr>
            </w:pPr>
            <w:r>
              <w:rPr>
                <w:rFonts w:hint="eastAsia" w:ascii="仿宋" w:hAnsi="仿宋" w:eastAsia="仿宋" w:cs="仿宋"/>
                <w:kern w:val="0"/>
                <w:sz w:val="18"/>
                <w:szCs w:val="18"/>
                <w:lang w:bidi="ar"/>
              </w:rPr>
              <w:t>实验室</w:t>
            </w:r>
            <w:r>
              <w:rPr>
                <w:rStyle w:val="32"/>
                <w:rFonts w:hint="default" w:ascii="仿宋" w:hAnsi="仿宋" w:eastAsia="仿宋" w:cs="仿宋"/>
                <w:color w:val="auto"/>
                <w:sz w:val="18"/>
                <w:szCs w:val="18"/>
                <w:lang w:bidi="ar"/>
              </w:rPr>
              <w:t xml:space="preserve">  </w:t>
            </w:r>
          </w:p>
          <w:p w14:paraId="1D8AE70A">
            <w:pPr>
              <w:widowControl/>
              <w:jc w:val="left"/>
              <w:textAlignment w:val="center"/>
              <w:rPr>
                <w:rFonts w:ascii="仿宋" w:hAnsi="仿宋" w:eastAsia="仿宋" w:cs="仿宋"/>
                <w:sz w:val="18"/>
                <w:szCs w:val="18"/>
              </w:rPr>
            </w:pPr>
            <w:r>
              <w:rPr>
                <w:rFonts w:hint="eastAsia" w:ascii="仿宋" w:hAnsi="仿宋" w:eastAsia="仿宋" w:cs="仿宋"/>
                <w:kern w:val="0"/>
                <w:sz w:val="18"/>
                <w:szCs w:val="18"/>
                <w:lang w:bidi="ar"/>
              </w:rPr>
              <w:t>项目指标</w:t>
            </w:r>
          </w:p>
        </w:tc>
        <w:tc>
          <w:tcPr>
            <w:tcW w:w="2268" w:type="dxa"/>
            <w:tcBorders>
              <w:top w:val="single" w:color="000000" w:sz="4" w:space="0"/>
              <w:left w:val="single" w:color="000000" w:sz="4" w:space="0"/>
              <w:right w:val="single" w:color="auto" w:sz="4" w:space="0"/>
            </w:tcBorders>
            <w:vAlign w:val="center"/>
          </w:tcPr>
          <w:p w14:paraId="74CE1ACF">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实验室1</w:t>
            </w:r>
          </w:p>
        </w:tc>
        <w:tc>
          <w:tcPr>
            <w:tcW w:w="2126" w:type="dxa"/>
            <w:tcBorders>
              <w:top w:val="single" w:color="000000" w:sz="4" w:space="0"/>
              <w:left w:val="single" w:color="000000" w:sz="4" w:space="0"/>
              <w:right w:val="single" w:color="auto" w:sz="4" w:space="0"/>
            </w:tcBorders>
            <w:vAlign w:val="center"/>
          </w:tcPr>
          <w:p w14:paraId="21E76F89">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实验室2</w:t>
            </w:r>
          </w:p>
        </w:tc>
        <w:tc>
          <w:tcPr>
            <w:tcW w:w="2149" w:type="dxa"/>
            <w:tcBorders>
              <w:top w:val="single" w:color="000000" w:sz="4" w:space="0"/>
              <w:left w:val="single" w:color="000000" w:sz="4" w:space="0"/>
              <w:right w:val="single" w:color="auto" w:sz="4" w:space="0"/>
            </w:tcBorders>
            <w:vAlign w:val="center"/>
          </w:tcPr>
          <w:p w14:paraId="46AEA9D2">
            <w:pPr>
              <w:widowControl/>
              <w:jc w:val="center"/>
              <w:textAlignment w:val="center"/>
              <w:rPr>
                <w:rFonts w:ascii="仿宋" w:hAnsi="仿宋" w:eastAsia="仿宋" w:cs="仿宋"/>
                <w:kern w:val="0"/>
                <w:sz w:val="18"/>
                <w:szCs w:val="18"/>
                <w:lang w:bidi="ar"/>
              </w:rPr>
            </w:pPr>
            <w:r>
              <w:rPr>
                <w:rFonts w:hint="eastAsia" w:ascii="仿宋" w:hAnsi="仿宋" w:eastAsia="仿宋" w:cs="仿宋"/>
                <w:kern w:val="0"/>
                <w:sz w:val="18"/>
                <w:szCs w:val="18"/>
                <w:lang w:bidi="ar"/>
              </w:rPr>
              <w:t>实验室3</w:t>
            </w:r>
          </w:p>
        </w:tc>
      </w:tr>
      <w:tr w14:paraId="6F01553C">
        <w:tblPrEx>
          <w:tblCellMar>
            <w:top w:w="0" w:type="dxa"/>
            <w:left w:w="108" w:type="dxa"/>
            <w:bottom w:w="0" w:type="dxa"/>
            <w:right w:w="108" w:type="dxa"/>
          </w:tblCellMar>
        </w:tblPrEx>
        <w:trPr>
          <w:trHeight w:val="446"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151FF71B">
            <w:pPr>
              <w:widowControl/>
              <w:jc w:val="center"/>
              <w:textAlignment w:val="center"/>
              <w:rPr>
                <w:rFonts w:ascii="仿宋" w:hAnsi="仿宋" w:eastAsia="仿宋" w:cs="仿宋"/>
                <w:sz w:val="18"/>
                <w:szCs w:val="18"/>
              </w:rPr>
            </w:pPr>
            <w:r>
              <w:rPr>
                <w:rFonts w:hint="eastAsia" w:ascii="仿宋" w:hAnsi="仿宋" w:eastAsia="仿宋" w:cs="仿宋"/>
                <w:sz w:val="18"/>
                <w:szCs w:val="18"/>
              </w:rPr>
              <w:t>检出限</w:t>
            </w:r>
            <w:r>
              <w:rPr>
                <w:rFonts w:hint="eastAsia" w:ascii="仿宋" w:hAnsi="仿宋" w:eastAsia="仿宋"/>
                <w:color w:val="000000" w:themeColor="text1"/>
                <w14:textFill>
                  <w14:solidFill>
                    <w14:schemeClr w14:val="tx1"/>
                  </w14:solidFill>
                </w14:textFill>
              </w:rPr>
              <w:t>μg/mL</w:t>
            </w:r>
          </w:p>
        </w:tc>
        <w:tc>
          <w:tcPr>
            <w:tcW w:w="2268" w:type="dxa"/>
            <w:tcBorders>
              <w:top w:val="single" w:color="000000" w:sz="4" w:space="0"/>
              <w:left w:val="single" w:color="000000" w:sz="4" w:space="0"/>
              <w:bottom w:val="single" w:color="000000" w:sz="4" w:space="0"/>
              <w:right w:val="single" w:color="000000" w:sz="4" w:space="0"/>
            </w:tcBorders>
            <w:vAlign w:val="center"/>
          </w:tcPr>
          <w:p w14:paraId="06578574">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.47</w:t>
            </w:r>
          </w:p>
        </w:tc>
        <w:tc>
          <w:tcPr>
            <w:tcW w:w="2126" w:type="dxa"/>
            <w:tcBorders>
              <w:top w:val="single" w:color="000000" w:sz="4" w:space="0"/>
              <w:left w:val="single" w:color="000000" w:sz="4" w:space="0"/>
              <w:bottom w:val="single" w:color="000000" w:sz="4" w:space="0"/>
              <w:right w:val="single" w:color="000000" w:sz="4" w:space="0"/>
            </w:tcBorders>
            <w:vAlign w:val="center"/>
          </w:tcPr>
          <w:p w14:paraId="66A760EB">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.72</w:t>
            </w:r>
          </w:p>
        </w:tc>
        <w:tc>
          <w:tcPr>
            <w:tcW w:w="2149" w:type="dxa"/>
            <w:tcBorders>
              <w:top w:val="single" w:color="000000" w:sz="4" w:space="0"/>
              <w:left w:val="single" w:color="000000" w:sz="4" w:space="0"/>
              <w:bottom w:val="single" w:color="000000" w:sz="4" w:space="0"/>
              <w:right w:val="single" w:color="000000" w:sz="4" w:space="0"/>
            </w:tcBorders>
            <w:vAlign w:val="center"/>
          </w:tcPr>
          <w:p w14:paraId="3E3E16E6">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.60</w:t>
            </w:r>
          </w:p>
        </w:tc>
      </w:tr>
      <w:tr w14:paraId="42AF0436">
        <w:tblPrEx>
          <w:tblCellMar>
            <w:top w:w="0" w:type="dxa"/>
            <w:left w:w="108" w:type="dxa"/>
            <w:bottom w:w="0" w:type="dxa"/>
            <w:right w:w="108" w:type="dxa"/>
          </w:tblCellMar>
        </w:tblPrEx>
        <w:trPr>
          <w:trHeight w:val="409"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212FDD47">
            <w:pPr>
              <w:widowControl/>
              <w:jc w:val="center"/>
              <w:textAlignment w:val="center"/>
              <w:rPr>
                <w:rFonts w:ascii="仿宋" w:hAnsi="仿宋" w:eastAsia="仿宋" w:cs="仿宋"/>
                <w:sz w:val="18"/>
                <w:szCs w:val="18"/>
              </w:rPr>
            </w:pPr>
            <w:r>
              <w:rPr>
                <w:rFonts w:hint="eastAsia" w:ascii="仿宋" w:hAnsi="仿宋" w:eastAsia="仿宋" w:cs="仿宋"/>
                <w:sz w:val="18"/>
                <w:szCs w:val="18"/>
              </w:rPr>
              <w:t>定量限</w:t>
            </w:r>
            <w:r>
              <w:rPr>
                <w:rFonts w:hint="eastAsia" w:ascii="仿宋" w:hAnsi="仿宋" w:eastAsia="仿宋"/>
                <w:color w:val="000000" w:themeColor="text1"/>
                <w14:textFill>
                  <w14:solidFill>
                    <w14:schemeClr w14:val="tx1"/>
                  </w14:solidFill>
                </w14:textFill>
              </w:rPr>
              <w:t>μg/mL</w:t>
            </w:r>
          </w:p>
        </w:tc>
        <w:tc>
          <w:tcPr>
            <w:tcW w:w="2268" w:type="dxa"/>
            <w:tcBorders>
              <w:top w:val="single" w:color="000000" w:sz="4" w:space="0"/>
              <w:left w:val="single" w:color="000000" w:sz="4" w:space="0"/>
              <w:bottom w:val="single" w:color="000000" w:sz="4" w:space="0"/>
              <w:right w:val="single" w:color="000000" w:sz="4" w:space="0"/>
            </w:tcBorders>
            <w:vAlign w:val="center"/>
          </w:tcPr>
          <w:p w14:paraId="4448B7A5">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.57</w:t>
            </w:r>
          </w:p>
        </w:tc>
        <w:tc>
          <w:tcPr>
            <w:tcW w:w="2126" w:type="dxa"/>
            <w:tcBorders>
              <w:top w:val="single" w:color="000000" w:sz="4" w:space="0"/>
              <w:left w:val="single" w:color="000000" w:sz="4" w:space="0"/>
              <w:bottom w:val="single" w:color="000000" w:sz="4" w:space="0"/>
              <w:right w:val="single" w:color="000000" w:sz="4" w:space="0"/>
            </w:tcBorders>
            <w:vAlign w:val="center"/>
          </w:tcPr>
          <w:p w14:paraId="34BA2064">
            <w:pPr>
              <w:widowControl/>
              <w:jc w:val="center"/>
              <w:textAlignment w:val="center"/>
              <w:rPr>
                <w:rFonts w:ascii="仿宋" w:hAnsi="仿宋" w:eastAsia="仿宋" w:cs="仿宋"/>
                <w:sz w:val="24"/>
                <w:szCs w:val="18"/>
              </w:rPr>
            </w:pPr>
            <w:r>
              <w:rPr>
                <w:rFonts w:hint="eastAsia" w:ascii="仿宋" w:hAnsi="仿宋" w:eastAsia="仿宋" w:cs="仿宋"/>
                <w:sz w:val="24"/>
                <w:szCs w:val="18"/>
              </w:rPr>
              <w:t>2</w:t>
            </w:r>
            <w:r>
              <w:rPr>
                <w:rFonts w:ascii="仿宋" w:hAnsi="仿宋" w:eastAsia="仿宋" w:cs="仿宋"/>
                <w:sz w:val="24"/>
                <w:szCs w:val="18"/>
              </w:rPr>
              <w:t>.40</w:t>
            </w:r>
          </w:p>
        </w:tc>
        <w:tc>
          <w:tcPr>
            <w:tcW w:w="2149" w:type="dxa"/>
            <w:tcBorders>
              <w:top w:val="single" w:color="000000" w:sz="4" w:space="0"/>
              <w:left w:val="single" w:color="000000" w:sz="4" w:space="0"/>
              <w:bottom w:val="single" w:color="000000" w:sz="4" w:space="0"/>
              <w:right w:val="single" w:color="000000" w:sz="4" w:space="0"/>
            </w:tcBorders>
            <w:vAlign w:val="center"/>
          </w:tcPr>
          <w:p w14:paraId="637961EF">
            <w:pPr>
              <w:widowControl/>
              <w:jc w:val="center"/>
              <w:textAlignment w:val="center"/>
              <w:rPr>
                <w:rFonts w:ascii="仿宋" w:hAnsi="仿宋" w:eastAsia="仿宋" w:cs="仿宋"/>
                <w:sz w:val="24"/>
                <w:szCs w:val="18"/>
              </w:rPr>
            </w:pPr>
            <w:r>
              <w:rPr>
                <w:rFonts w:hint="eastAsia" w:ascii="仿宋" w:hAnsi="仿宋" w:eastAsia="仿宋" w:cs="仿宋"/>
                <w:sz w:val="24"/>
                <w:szCs w:val="18"/>
              </w:rPr>
              <w:t>5</w:t>
            </w:r>
            <w:r>
              <w:rPr>
                <w:rFonts w:ascii="仿宋" w:hAnsi="仿宋" w:eastAsia="仿宋" w:cs="仿宋"/>
                <w:sz w:val="24"/>
                <w:szCs w:val="18"/>
              </w:rPr>
              <w:t>.00</w:t>
            </w:r>
          </w:p>
        </w:tc>
      </w:tr>
      <w:tr w14:paraId="4C55C2B2">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4F416528">
            <w:pPr>
              <w:widowControl/>
              <w:jc w:val="center"/>
              <w:textAlignment w:val="center"/>
              <w:rPr>
                <w:rFonts w:ascii="仿宋" w:hAnsi="仿宋" w:eastAsia="仿宋" w:cs="仿宋"/>
                <w:sz w:val="18"/>
                <w:szCs w:val="18"/>
              </w:rPr>
            </w:pPr>
            <w:r>
              <w:rPr>
                <w:rFonts w:hint="eastAsia" w:ascii="仿宋" w:hAnsi="仿宋" w:eastAsia="仿宋" w:cs="仿宋"/>
                <w:sz w:val="18"/>
                <w:szCs w:val="18"/>
              </w:rPr>
              <w:t>日内精密度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1AD28BB2">
            <w:pPr>
              <w:widowControl/>
              <w:jc w:val="center"/>
              <w:textAlignment w:val="center"/>
            </w:pPr>
            <w:r>
              <w:rPr>
                <w:rFonts w:hint="eastAsia" w:ascii="仿宋" w:hAnsi="仿宋" w:eastAsia="仿宋" w:cs="仿宋"/>
                <w:sz w:val="18"/>
                <w:szCs w:val="18"/>
              </w:rPr>
              <w:t>5μg/mL</w:t>
            </w:r>
            <w:r>
              <w:rPr>
                <w:rFonts w:ascii="仿宋" w:hAnsi="仿宋" w:eastAsia="仿宋" w:cs="仿宋"/>
                <w:sz w:val="18"/>
                <w:szCs w:val="18"/>
              </w:rPr>
              <w:t xml:space="preserve"> D</w:t>
            </w:r>
            <w:r>
              <w:rPr>
                <w:rFonts w:hint="eastAsia" w:ascii="仿宋" w:hAnsi="仿宋" w:eastAsia="仿宋" w:cs="仿宋"/>
                <w:sz w:val="18"/>
                <w:szCs w:val="18"/>
              </w:rPr>
              <w:t>a</w:t>
            </w:r>
            <w:r>
              <w:rPr>
                <w:rFonts w:ascii="仿宋" w:hAnsi="仿宋" w:eastAsia="仿宋" w:cs="仿宋"/>
                <w:sz w:val="18"/>
                <w:szCs w:val="18"/>
              </w:rPr>
              <w:t>y1</w:t>
            </w:r>
          </w:p>
        </w:tc>
        <w:tc>
          <w:tcPr>
            <w:tcW w:w="2268" w:type="dxa"/>
            <w:tcBorders>
              <w:top w:val="single" w:color="000000" w:sz="4" w:space="0"/>
              <w:left w:val="single" w:color="000000" w:sz="4" w:space="0"/>
              <w:bottom w:val="single" w:color="000000" w:sz="4" w:space="0"/>
              <w:right w:val="single" w:color="000000" w:sz="4" w:space="0"/>
            </w:tcBorders>
            <w:vAlign w:val="center"/>
          </w:tcPr>
          <w:p w14:paraId="1A45EF2D">
            <w:pPr>
              <w:widowControl/>
              <w:jc w:val="center"/>
              <w:textAlignment w:val="center"/>
              <w:rPr>
                <w:rFonts w:ascii="仿宋" w:hAnsi="仿宋" w:eastAsia="仿宋" w:cs="仿宋"/>
                <w:sz w:val="24"/>
                <w:szCs w:val="18"/>
              </w:rPr>
            </w:pPr>
            <w:r>
              <w:rPr>
                <w:rFonts w:ascii="仿宋" w:hAnsi="仿宋" w:eastAsia="仿宋" w:cs="仿宋"/>
                <w:sz w:val="24"/>
                <w:szCs w:val="18"/>
              </w:rPr>
              <w:t>4.35</w:t>
            </w:r>
          </w:p>
        </w:tc>
        <w:tc>
          <w:tcPr>
            <w:tcW w:w="2126" w:type="dxa"/>
            <w:tcBorders>
              <w:top w:val="single" w:color="000000" w:sz="4" w:space="0"/>
              <w:left w:val="single" w:color="000000" w:sz="4" w:space="0"/>
              <w:bottom w:val="single" w:color="000000" w:sz="4" w:space="0"/>
              <w:right w:val="single" w:color="000000" w:sz="4" w:space="0"/>
            </w:tcBorders>
            <w:vAlign w:val="center"/>
          </w:tcPr>
          <w:p w14:paraId="07F55E14">
            <w:pPr>
              <w:widowControl/>
              <w:jc w:val="center"/>
              <w:textAlignment w:val="center"/>
              <w:rPr>
                <w:rFonts w:ascii="仿宋" w:hAnsi="仿宋" w:eastAsia="仿宋" w:cs="仿宋"/>
                <w:sz w:val="24"/>
                <w:szCs w:val="18"/>
              </w:rPr>
            </w:pPr>
            <w:r>
              <w:rPr>
                <w:rFonts w:hint="eastAsia" w:ascii="仿宋" w:hAnsi="仿宋" w:eastAsia="仿宋" w:cs="仿宋"/>
                <w:sz w:val="24"/>
                <w:szCs w:val="18"/>
              </w:rPr>
              <w:t>2</w:t>
            </w:r>
            <w:r>
              <w:rPr>
                <w:rFonts w:ascii="仿宋" w:hAnsi="仿宋" w:eastAsia="仿宋" w:cs="仿宋"/>
                <w:sz w:val="24"/>
                <w:szCs w:val="18"/>
              </w:rPr>
              <w:t>.05</w:t>
            </w:r>
          </w:p>
        </w:tc>
        <w:tc>
          <w:tcPr>
            <w:tcW w:w="2149" w:type="dxa"/>
            <w:tcBorders>
              <w:top w:val="single" w:color="000000" w:sz="4" w:space="0"/>
              <w:left w:val="single" w:color="000000" w:sz="4" w:space="0"/>
              <w:bottom w:val="single" w:color="000000" w:sz="4" w:space="0"/>
              <w:right w:val="single" w:color="000000" w:sz="4" w:space="0"/>
            </w:tcBorders>
            <w:vAlign w:val="center"/>
          </w:tcPr>
          <w:p w14:paraId="6B26D8BD">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.64</w:t>
            </w:r>
          </w:p>
        </w:tc>
      </w:tr>
      <w:tr w14:paraId="7ECF1CCD">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111B0035">
            <w:pPr>
              <w:widowControl/>
              <w:jc w:val="center"/>
              <w:textAlignment w:val="center"/>
              <w:rPr>
                <w:rFonts w:ascii="仿宋" w:hAnsi="仿宋" w:eastAsia="仿宋" w:cs="仿宋"/>
                <w:sz w:val="18"/>
                <w:szCs w:val="18"/>
              </w:rPr>
            </w:pPr>
            <w:r>
              <w:rPr>
                <w:rFonts w:hint="eastAsia" w:ascii="仿宋" w:hAnsi="仿宋" w:eastAsia="仿宋" w:cs="仿宋"/>
                <w:sz w:val="18"/>
                <w:szCs w:val="18"/>
              </w:rPr>
              <w:t>日内精密度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53E3A70D">
            <w:pPr>
              <w:widowControl/>
              <w:jc w:val="center"/>
              <w:textAlignment w:val="center"/>
              <w:rPr>
                <w:rFonts w:ascii="仿宋" w:hAnsi="仿宋" w:eastAsia="仿宋" w:cs="仿宋"/>
                <w:kern w:val="0"/>
                <w:sz w:val="18"/>
                <w:szCs w:val="18"/>
                <w:lang w:bidi="ar"/>
              </w:rPr>
            </w:pPr>
            <w:r>
              <w:rPr>
                <w:rFonts w:ascii="仿宋" w:hAnsi="仿宋" w:eastAsia="仿宋" w:cs="仿宋"/>
                <w:sz w:val="18"/>
                <w:szCs w:val="18"/>
              </w:rPr>
              <w:t>100</w:t>
            </w:r>
            <w:r>
              <w:rPr>
                <w:rFonts w:hint="eastAsia" w:ascii="仿宋" w:hAnsi="仿宋" w:eastAsia="仿宋" w:cs="仿宋"/>
                <w:sz w:val="18"/>
                <w:szCs w:val="18"/>
              </w:rPr>
              <w:t>μg/</w:t>
            </w:r>
            <w:r>
              <w:rPr>
                <w:rFonts w:ascii="仿宋" w:hAnsi="仿宋" w:eastAsia="仿宋" w:cs="仿宋"/>
                <w:sz w:val="18"/>
                <w:szCs w:val="18"/>
              </w:rPr>
              <w:t>mL Day1</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F8C8798">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.67</w:t>
            </w:r>
          </w:p>
        </w:tc>
        <w:tc>
          <w:tcPr>
            <w:tcW w:w="2126" w:type="dxa"/>
            <w:tcBorders>
              <w:top w:val="single" w:color="000000" w:sz="4" w:space="0"/>
              <w:left w:val="single" w:color="000000" w:sz="4" w:space="0"/>
              <w:bottom w:val="single" w:color="000000" w:sz="4" w:space="0"/>
              <w:right w:val="single" w:color="000000" w:sz="4" w:space="0"/>
            </w:tcBorders>
            <w:vAlign w:val="center"/>
          </w:tcPr>
          <w:p w14:paraId="2D3AC54F">
            <w:pPr>
              <w:widowControl/>
              <w:jc w:val="center"/>
              <w:textAlignment w:val="center"/>
              <w:rPr>
                <w:rFonts w:ascii="仿宋" w:hAnsi="仿宋" w:eastAsia="仿宋" w:cs="仿宋"/>
                <w:sz w:val="24"/>
                <w:szCs w:val="18"/>
              </w:rPr>
            </w:pPr>
            <w:r>
              <w:rPr>
                <w:rFonts w:hint="eastAsia" w:ascii="仿宋" w:hAnsi="仿宋" w:eastAsia="仿宋" w:cs="仿宋"/>
                <w:sz w:val="24"/>
                <w:szCs w:val="18"/>
              </w:rPr>
              <w:t>2</w:t>
            </w:r>
            <w:r>
              <w:rPr>
                <w:rFonts w:ascii="仿宋" w:hAnsi="仿宋" w:eastAsia="仿宋" w:cs="仿宋"/>
                <w:sz w:val="24"/>
                <w:szCs w:val="18"/>
              </w:rPr>
              <w:t>.00</w:t>
            </w:r>
          </w:p>
        </w:tc>
        <w:tc>
          <w:tcPr>
            <w:tcW w:w="2149" w:type="dxa"/>
            <w:tcBorders>
              <w:top w:val="single" w:color="000000" w:sz="4" w:space="0"/>
              <w:left w:val="single" w:color="000000" w:sz="4" w:space="0"/>
              <w:bottom w:val="single" w:color="000000" w:sz="4" w:space="0"/>
              <w:right w:val="single" w:color="000000" w:sz="4" w:space="0"/>
            </w:tcBorders>
            <w:vAlign w:val="center"/>
          </w:tcPr>
          <w:p w14:paraId="42B0418A">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.12</w:t>
            </w:r>
          </w:p>
        </w:tc>
      </w:tr>
      <w:tr w14:paraId="1C3FFB19">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6A90E439">
            <w:pPr>
              <w:widowControl/>
              <w:jc w:val="center"/>
              <w:textAlignment w:val="center"/>
              <w:rPr>
                <w:rFonts w:ascii="仿宋" w:hAnsi="仿宋" w:eastAsia="仿宋" w:cs="仿宋"/>
                <w:sz w:val="18"/>
                <w:szCs w:val="18"/>
              </w:rPr>
            </w:pPr>
            <w:r>
              <w:rPr>
                <w:rFonts w:hint="eastAsia" w:ascii="仿宋" w:hAnsi="仿宋" w:eastAsia="仿宋" w:cs="仿宋"/>
                <w:sz w:val="18"/>
                <w:szCs w:val="18"/>
              </w:rPr>
              <w:t>日内精密度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5390535F">
            <w:pPr>
              <w:widowControl/>
              <w:jc w:val="center"/>
              <w:textAlignment w:val="center"/>
              <w:rPr>
                <w:rFonts w:ascii="仿宋" w:hAnsi="仿宋" w:eastAsia="仿宋" w:cs="仿宋"/>
                <w:sz w:val="18"/>
                <w:szCs w:val="18"/>
              </w:rPr>
            </w:pPr>
            <w:r>
              <w:rPr>
                <w:rFonts w:ascii="仿宋" w:hAnsi="仿宋" w:eastAsia="仿宋" w:cs="仿宋"/>
                <w:sz w:val="18"/>
                <w:szCs w:val="18"/>
              </w:rPr>
              <w:t>1000</w:t>
            </w:r>
            <w:r>
              <w:rPr>
                <w:rFonts w:hint="eastAsia" w:ascii="仿宋" w:hAnsi="仿宋" w:eastAsia="仿宋" w:cs="仿宋"/>
                <w:sz w:val="18"/>
                <w:szCs w:val="18"/>
              </w:rPr>
              <w:t>μg/mL</w:t>
            </w:r>
            <w:r>
              <w:rPr>
                <w:rFonts w:ascii="仿宋" w:hAnsi="仿宋" w:eastAsia="仿宋" w:cs="仿宋"/>
                <w:sz w:val="18"/>
                <w:szCs w:val="18"/>
              </w:rPr>
              <w:t xml:space="preserve"> Day1</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62DB363B">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.44</w:t>
            </w:r>
          </w:p>
        </w:tc>
        <w:tc>
          <w:tcPr>
            <w:tcW w:w="2126" w:type="dxa"/>
            <w:tcBorders>
              <w:top w:val="single" w:color="000000" w:sz="4" w:space="0"/>
              <w:left w:val="single" w:color="000000" w:sz="4" w:space="0"/>
              <w:bottom w:val="single" w:color="000000" w:sz="4" w:space="0"/>
              <w:right w:val="single" w:color="000000" w:sz="4" w:space="0"/>
            </w:tcBorders>
            <w:vAlign w:val="center"/>
          </w:tcPr>
          <w:p w14:paraId="0EBC63A8">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.58</w:t>
            </w:r>
          </w:p>
        </w:tc>
        <w:tc>
          <w:tcPr>
            <w:tcW w:w="2149" w:type="dxa"/>
            <w:tcBorders>
              <w:top w:val="single" w:color="000000" w:sz="4" w:space="0"/>
              <w:left w:val="single" w:color="000000" w:sz="4" w:space="0"/>
              <w:bottom w:val="single" w:color="000000" w:sz="4" w:space="0"/>
              <w:right w:val="single" w:color="000000" w:sz="4" w:space="0"/>
            </w:tcBorders>
            <w:vAlign w:val="center"/>
          </w:tcPr>
          <w:p w14:paraId="6C47DEEC">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.15</w:t>
            </w:r>
          </w:p>
        </w:tc>
      </w:tr>
      <w:tr w14:paraId="49CC1B5D">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5D90AF31">
            <w:pPr>
              <w:widowControl/>
              <w:jc w:val="center"/>
              <w:textAlignment w:val="center"/>
              <w:rPr>
                <w:rFonts w:ascii="仿宋" w:hAnsi="仿宋" w:eastAsia="仿宋" w:cs="仿宋"/>
                <w:sz w:val="18"/>
                <w:szCs w:val="18"/>
              </w:rPr>
            </w:pPr>
            <w:r>
              <w:rPr>
                <w:rFonts w:hint="eastAsia" w:ascii="仿宋" w:hAnsi="仿宋" w:eastAsia="仿宋" w:cs="仿宋"/>
                <w:sz w:val="18"/>
                <w:szCs w:val="18"/>
              </w:rPr>
              <w:t>日间精密度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129DE516">
            <w:pPr>
              <w:widowControl/>
              <w:jc w:val="center"/>
              <w:textAlignment w:val="center"/>
            </w:pPr>
            <w:r>
              <w:rPr>
                <w:rFonts w:hint="eastAsia" w:ascii="仿宋" w:hAnsi="仿宋" w:eastAsia="仿宋" w:cs="仿宋"/>
                <w:sz w:val="18"/>
                <w:szCs w:val="18"/>
              </w:rPr>
              <w:t>5μg/mL</w:t>
            </w:r>
            <w:r>
              <w:rPr>
                <w:rFonts w:ascii="仿宋" w:hAnsi="仿宋" w:eastAsia="仿宋" w:cs="仿宋"/>
                <w:sz w:val="18"/>
                <w:szCs w:val="18"/>
              </w:rPr>
              <w:t xml:space="preserve"> Day2</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E6A4140">
            <w:pPr>
              <w:widowControl/>
              <w:jc w:val="center"/>
              <w:textAlignment w:val="center"/>
              <w:rPr>
                <w:rFonts w:ascii="仿宋" w:hAnsi="仿宋" w:eastAsia="仿宋" w:cs="仿宋"/>
                <w:sz w:val="24"/>
                <w:szCs w:val="18"/>
              </w:rPr>
            </w:pPr>
            <w:r>
              <w:rPr>
                <w:rFonts w:ascii="仿宋" w:hAnsi="仿宋" w:eastAsia="仿宋" w:cs="仿宋"/>
                <w:sz w:val="24"/>
                <w:szCs w:val="18"/>
              </w:rPr>
              <w:t>4.50</w:t>
            </w:r>
          </w:p>
        </w:tc>
        <w:tc>
          <w:tcPr>
            <w:tcW w:w="2126" w:type="dxa"/>
            <w:tcBorders>
              <w:top w:val="single" w:color="000000" w:sz="4" w:space="0"/>
              <w:left w:val="single" w:color="000000" w:sz="4" w:space="0"/>
              <w:bottom w:val="single" w:color="000000" w:sz="4" w:space="0"/>
              <w:right w:val="single" w:color="000000" w:sz="4" w:space="0"/>
            </w:tcBorders>
            <w:vAlign w:val="center"/>
          </w:tcPr>
          <w:p w14:paraId="5D56204C">
            <w:pPr>
              <w:widowControl/>
              <w:jc w:val="center"/>
              <w:textAlignment w:val="center"/>
              <w:rPr>
                <w:rFonts w:ascii="仿宋" w:hAnsi="仿宋" w:eastAsia="仿宋" w:cs="仿宋"/>
                <w:sz w:val="24"/>
                <w:szCs w:val="18"/>
              </w:rPr>
            </w:pPr>
            <w:r>
              <w:rPr>
                <w:rFonts w:hint="eastAsia" w:ascii="仿宋" w:hAnsi="仿宋" w:eastAsia="仿宋" w:cs="仿宋"/>
                <w:sz w:val="24"/>
                <w:szCs w:val="18"/>
              </w:rPr>
              <w:t>2</w:t>
            </w:r>
            <w:r>
              <w:rPr>
                <w:rFonts w:ascii="仿宋" w:hAnsi="仿宋" w:eastAsia="仿宋" w:cs="仿宋"/>
                <w:sz w:val="24"/>
                <w:szCs w:val="18"/>
              </w:rPr>
              <w:t>.74</w:t>
            </w:r>
          </w:p>
        </w:tc>
        <w:tc>
          <w:tcPr>
            <w:tcW w:w="2149" w:type="dxa"/>
            <w:tcBorders>
              <w:top w:val="single" w:color="000000" w:sz="4" w:space="0"/>
              <w:left w:val="single" w:color="000000" w:sz="4" w:space="0"/>
              <w:bottom w:val="single" w:color="000000" w:sz="4" w:space="0"/>
              <w:right w:val="single" w:color="000000" w:sz="4" w:space="0"/>
            </w:tcBorders>
            <w:vAlign w:val="center"/>
          </w:tcPr>
          <w:p w14:paraId="4C21DA9A">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.27</w:t>
            </w:r>
          </w:p>
        </w:tc>
      </w:tr>
      <w:tr w14:paraId="0C3A29C4">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36429B53">
            <w:pPr>
              <w:widowControl/>
              <w:jc w:val="center"/>
              <w:textAlignment w:val="center"/>
              <w:rPr>
                <w:rFonts w:ascii="仿宋" w:hAnsi="仿宋" w:eastAsia="仿宋" w:cs="仿宋"/>
                <w:sz w:val="18"/>
                <w:szCs w:val="18"/>
              </w:rPr>
            </w:pPr>
            <w:r>
              <w:rPr>
                <w:rFonts w:hint="eastAsia" w:ascii="仿宋" w:hAnsi="仿宋" w:eastAsia="仿宋" w:cs="仿宋"/>
                <w:sz w:val="18"/>
                <w:szCs w:val="18"/>
              </w:rPr>
              <w:t>日间精密度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344D7F24">
            <w:pPr>
              <w:widowControl/>
              <w:jc w:val="center"/>
              <w:textAlignment w:val="center"/>
              <w:rPr>
                <w:rFonts w:ascii="仿宋" w:hAnsi="仿宋" w:eastAsia="仿宋" w:cs="仿宋"/>
                <w:kern w:val="0"/>
                <w:sz w:val="18"/>
                <w:szCs w:val="18"/>
                <w:lang w:bidi="ar"/>
              </w:rPr>
            </w:pPr>
            <w:r>
              <w:rPr>
                <w:rFonts w:ascii="仿宋" w:hAnsi="仿宋" w:eastAsia="仿宋" w:cs="仿宋"/>
                <w:sz w:val="18"/>
                <w:szCs w:val="18"/>
              </w:rPr>
              <w:t>100</w:t>
            </w:r>
            <w:r>
              <w:rPr>
                <w:rFonts w:hint="eastAsia" w:ascii="仿宋" w:hAnsi="仿宋" w:eastAsia="仿宋" w:cs="仿宋"/>
                <w:sz w:val="18"/>
                <w:szCs w:val="18"/>
              </w:rPr>
              <w:t>μg/mL</w:t>
            </w:r>
            <w:r>
              <w:rPr>
                <w:rFonts w:ascii="仿宋" w:hAnsi="仿宋" w:eastAsia="仿宋" w:cs="仿宋"/>
                <w:sz w:val="18"/>
                <w:szCs w:val="18"/>
              </w:rPr>
              <w:t xml:space="preserve">  Day2</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C136691">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.75</w:t>
            </w:r>
          </w:p>
        </w:tc>
        <w:tc>
          <w:tcPr>
            <w:tcW w:w="2126" w:type="dxa"/>
            <w:tcBorders>
              <w:top w:val="single" w:color="000000" w:sz="4" w:space="0"/>
              <w:left w:val="single" w:color="000000" w:sz="4" w:space="0"/>
              <w:bottom w:val="single" w:color="000000" w:sz="4" w:space="0"/>
              <w:right w:val="single" w:color="000000" w:sz="4" w:space="0"/>
            </w:tcBorders>
            <w:vAlign w:val="center"/>
          </w:tcPr>
          <w:p w14:paraId="2F527E07">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.78</w:t>
            </w:r>
          </w:p>
        </w:tc>
        <w:tc>
          <w:tcPr>
            <w:tcW w:w="2149" w:type="dxa"/>
            <w:tcBorders>
              <w:top w:val="single" w:color="000000" w:sz="4" w:space="0"/>
              <w:left w:val="single" w:color="000000" w:sz="4" w:space="0"/>
              <w:bottom w:val="single" w:color="000000" w:sz="4" w:space="0"/>
              <w:right w:val="single" w:color="000000" w:sz="4" w:space="0"/>
            </w:tcBorders>
            <w:vAlign w:val="center"/>
          </w:tcPr>
          <w:p w14:paraId="0AB9929C">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.36</w:t>
            </w:r>
          </w:p>
        </w:tc>
      </w:tr>
      <w:tr w14:paraId="0D4D31E7">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2E60F56F">
            <w:pPr>
              <w:widowControl/>
              <w:jc w:val="center"/>
              <w:textAlignment w:val="center"/>
              <w:rPr>
                <w:rFonts w:ascii="仿宋" w:hAnsi="仿宋" w:eastAsia="仿宋" w:cs="仿宋"/>
                <w:sz w:val="18"/>
                <w:szCs w:val="18"/>
              </w:rPr>
            </w:pPr>
            <w:r>
              <w:rPr>
                <w:rFonts w:hint="eastAsia" w:ascii="仿宋" w:hAnsi="仿宋" w:eastAsia="仿宋" w:cs="仿宋"/>
                <w:sz w:val="18"/>
                <w:szCs w:val="18"/>
              </w:rPr>
              <w:t>日间精密度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58B463C3">
            <w:pPr>
              <w:widowControl/>
              <w:jc w:val="center"/>
              <w:textAlignment w:val="center"/>
              <w:rPr>
                <w:rFonts w:ascii="仿宋" w:hAnsi="仿宋" w:eastAsia="仿宋" w:cs="仿宋"/>
                <w:sz w:val="18"/>
                <w:szCs w:val="18"/>
              </w:rPr>
            </w:pPr>
            <w:r>
              <w:rPr>
                <w:rFonts w:ascii="仿宋" w:hAnsi="仿宋" w:eastAsia="仿宋" w:cs="仿宋"/>
                <w:sz w:val="18"/>
                <w:szCs w:val="18"/>
              </w:rPr>
              <w:t>1000</w:t>
            </w:r>
            <w:r>
              <w:rPr>
                <w:rFonts w:hint="eastAsia" w:ascii="仿宋" w:hAnsi="仿宋" w:eastAsia="仿宋" w:cs="仿宋"/>
                <w:sz w:val="18"/>
                <w:szCs w:val="18"/>
              </w:rPr>
              <w:t>μg/mL</w:t>
            </w:r>
            <w:r>
              <w:rPr>
                <w:rFonts w:ascii="仿宋" w:hAnsi="仿宋" w:eastAsia="仿宋" w:cs="仿宋"/>
                <w:sz w:val="18"/>
                <w:szCs w:val="18"/>
              </w:rPr>
              <w:t xml:space="preserve">  Day2</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1B6411C6">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.56</w:t>
            </w:r>
          </w:p>
        </w:tc>
        <w:tc>
          <w:tcPr>
            <w:tcW w:w="2126" w:type="dxa"/>
            <w:tcBorders>
              <w:top w:val="single" w:color="000000" w:sz="4" w:space="0"/>
              <w:left w:val="single" w:color="000000" w:sz="4" w:space="0"/>
              <w:bottom w:val="single" w:color="000000" w:sz="4" w:space="0"/>
              <w:right w:val="single" w:color="000000" w:sz="4" w:space="0"/>
            </w:tcBorders>
            <w:vAlign w:val="center"/>
          </w:tcPr>
          <w:p w14:paraId="690A9BEA">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.61</w:t>
            </w:r>
          </w:p>
        </w:tc>
        <w:tc>
          <w:tcPr>
            <w:tcW w:w="2149" w:type="dxa"/>
            <w:tcBorders>
              <w:top w:val="single" w:color="000000" w:sz="4" w:space="0"/>
              <w:left w:val="single" w:color="000000" w:sz="4" w:space="0"/>
              <w:bottom w:val="single" w:color="000000" w:sz="4" w:space="0"/>
              <w:right w:val="single" w:color="000000" w:sz="4" w:space="0"/>
            </w:tcBorders>
            <w:vAlign w:val="center"/>
          </w:tcPr>
          <w:p w14:paraId="570C48AE">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.14</w:t>
            </w:r>
          </w:p>
        </w:tc>
      </w:tr>
      <w:tr w14:paraId="6DB10BDF">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6580139A">
            <w:pPr>
              <w:widowControl/>
              <w:jc w:val="center"/>
              <w:textAlignment w:val="center"/>
              <w:rPr>
                <w:rFonts w:ascii="仿宋" w:hAnsi="仿宋" w:eastAsia="仿宋" w:cs="仿宋"/>
                <w:sz w:val="18"/>
                <w:szCs w:val="18"/>
              </w:rPr>
            </w:pPr>
            <w:r>
              <w:rPr>
                <w:rFonts w:hint="eastAsia" w:ascii="仿宋" w:hAnsi="仿宋" w:eastAsia="仿宋" w:cs="仿宋"/>
                <w:sz w:val="18"/>
                <w:szCs w:val="18"/>
              </w:rPr>
              <w:t>日间精密度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7D7CECFC">
            <w:pPr>
              <w:widowControl/>
              <w:jc w:val="center"/>
              <w:textAlignment w:val="center"/>
            </w:pPr>
            <w:r>
              <w:rPr>
                <w:rFonts w:hint="eastAsia" w:ascii="仿宋" w:hAnsi="仿宋" w:eastAsia="仿宋" w:cs="仿宋"/>
                <w:sz w:val="18"/>
                <w:szCs w:val="18"/>
              </w:rPr>
              <w:t>5μg/mL</w:t>
            </w:r>
            <w:r>
              <w:rPr>
                <w:rFonts w:ascii="仿宋" w:hAnsi="仿宋" w:eastAsia="仿宋" w:cs="仿宋"/>
                <w:sz w:val="18"/>
                <w:szCs w:val="18"/>
              </w:rPr>
              <w:t xml:space="preserve"> Day3</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C9C6AEB">
            <w:pPr>
              <w:widowControl/>
              <w:jc w:val="center"/>
              <w:textAlignment w:val="center"/>
              <w:rPr>
                <w:rFonts w:ascii="仿宋" w:hAnsi="仿宋" w:eastAsia="仿宋" w:cs="仿宋"/>
                <w:sz w:val="24"/>
                <w:szCs w:val="18"/>
              </w:rPr>
            </w:pPr>
            <w:r>
              <w:rPr>
                <w:rFonts w:ascii="仿宋" w:hAnsi="仿宋" w:eastAsia="仿宋" w:cs="仿宋"/>
                <w:sz w:val="24"/>
                <w:szCs w:val="18"/>
              </w:rPr>
              <w:t>4.54</w:t>
            </w:r>
          </w:p>
        </w:tc>
        <w:tc>
          <w:tcPr>
            <w:tcW w:w="2126" w:type="dxa"/>
            <w:tcBorders>
              <w:top w:val="single" w:color="000000" w:sz="4" w:space="0"/>
              <w:left w:val="single" w:color="000000" w:sz="4" w:space="0"/>
              <w:bottom w:val="single" w:color="000000" w:sz="4" w:space="0"/>
              <w:right w:val="single" w:color="000000" w:sz="4" w:space="0"/>
            </w:tcBorders>
            <w:vAlign w:val="center"/>
          </w:tcPr>
          <w:p w14:paraId="57BE9E73">
            <w:pPr>
              <w:widowControl/>
              <w:jc w:val="center"/>
              <w:textAlignment w:val="center"/>
              <w:rPr>
                <w:rFonts w:ascii="仿宋" w:hAnsi="仿宋" w:eastAsia="仿宋" w:cs="仿宋"/>
                <w:sz w:val="24"/>
                <w:szCs w:val="18"/>
              </w:rPr>
            </w:pPr>
            <w:r>
              <w:rPr>
                <w:rFonts w:hint="eastAsia" w:ascii="仿宋" w:hAnsi="仿宋" w:eastAsia="仿宋" w:cs="仿宋"/>
                <w:sz w:val="24"/>
                <w:szCs w:val="18"/>
              </w:rPr>
              <w:t>2</w:t>
            </w:r>
            <w:r>
              <w:rPr>
                <w:rFonts w:ascii="仿宋" w:hAnsi="仿宋" w:eastAsia="仿宋" w:cs="仿宋"/>
                <w:sz w:val="24"/>
                <w:szCs w:val="18"/>
              </w:rPr>
              <w:t>.98</w:t>
            </w:r>
          </w:p>
        </w:tc>
        <w:tc>
          <w:tcPr>
            <w:tcW w:w="2149" w:type="dxa"/>
            <w:tcBorders>
              <w:top w:val="single" w:color="000000" w:sz="4" w:space="0"/>
              <w:left w:val="single" w:color="000000" w:sz="4" w:space="0"/>
              <w:bottom w:val="single" w:color="000000" w:sz="4" w:space="0"/>
              <w:right w:val="single" w:color="000000" w:sz="4" w:space="0"/>
            </w:tcBorders>
            <w:vAlign w:val="center"/>
          </w:tcPr>
          <w:p w14:paraId="46D17CE4">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.73</w:t>
            </w:r>
          </w:p>
        </w:tc>
      </w:tr>
      <w:tr w14:paraId="74913DCB">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3C214A12">
            <w:pPr>
              <w:widowControl/>
              <w:jc w:val="center"/>
              <w:textAlignment w:val="center"/>
              <w:rPr>
                <w:rFonts w:ascii="仿宋" w:hAnsi="仿宋" w:eastAsia="仿宋" w:cs="仿宋"/>
                <w:sz w:val="18"/>
                <w:szCs w:val="18"/>
              </w:rPr>
            </w:pPr>
            <w:r>
              <w:rPr>
                <w:rFonts w:hint="eastAsia" w:ascii="仿宋" w:hAnsi="仿宋" w:eastAsia="仿宋" w:cs="仿宋"/>
                <w:sz w:val="18"/>
                <w:szCs w:val="18"/>
              </w:rPr>
              <w:t>日间精密度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64236948">
            <w:pPr>
              <w:widowControl/>
              <w:jc w:val="center"/>
              <w:textAlignment w:val="center"/>
              <w:rPr>
                <w:rFonts w:ascii="仿宋" w:hAnsi="仿宋" w:eastAsia="仿宋" w:cs="仿宋"/>
                <w:kern w:val="0"/>
                <w:sz w:val="18"/>
                <w:szCs w:val="18"/>
                <w:lang w:bidi="ar"/>
              </w:rPr>
            </w:pPr>
            <w:r>
              <w:rPr>
                <w:rFonts w:ascii="仿宋" w:hAnsi="仿宋" w:eastAsia="仿宋" w:cs="仿宋"/>
                <w:sz w:val="18"/>
                <w:szCs w:val="18"/>
              </w:rPr>
              <w:t>100</w:t>
            </w:r>
            <w:r>
              <w:rPr>
                <w:rFonts w:hint="eastAsia" w:ascii="仿宋" w:hAnsi="仿宋" w:eastAsia="仿宋" w:cs="仿宋"/>
                <w:sz w:val="18"/>
                <w:szCs w:val="18"/>
              </w:rPr>
              <w:t>μg/mL</w:t>
            </w:r>
            <w:r>
              <w:rPr>
                <w:rFonts w:ascii="仿宋" w:hAnsi="仿宋" w:eastAsia="仿宋" w:cs="仿宋"/>
                <w:sz w:val="18"/>
                <w:szCs w:val="18"/>
              </w:rPr>
              <w:t xml:space="preserve">  Day3</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D8AD9B4">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.87</w:t>
            </w:r>
          </w:p>
        </w:tc>
        <w:tc>
          <w:tcPr>
            <w:tcW w:w="2126" w:type="dxa"/>
            <w:tcBorders>
              <w:top w:val="single" w:color="000000" w:sz="4" w:space="0"/>
              <w:left w:val="single" w:color="000000" w:sz="4" w:space="0"/>
              <w:bottom w:val="single" w:color="000000" w:sz="4" w:space="0"/>
              <w:right w:val="single" w:color="000000" w:sz="4" w:space="0"/>
            </w:tcBorders>
            <w:vAlign w:val="center"/>
          </w:tcPr>
          <w:p w14:paraId="12CEB379">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.74</w:t>
            </w:r>
          </w:p>
        </w:tc>
        <w:tc>
          <w:tcPr>
            <w:tcW w:w="2149" w:type="dxa"/>
            <w:tcBorders>
              <w:top w:val="single" w:color="000000" w:sz="4" w:space="0"/>
              <w:left w:val="single" w:color="000000" w:sz="4" w:space="0"/>
              <w:bottom w:val="single" w:color="000000" w:sz="4" w:space="0"/>
              <w:right w:val="single" w:color="000000" w:sz="4" w:space="0"/>
            </w:tcBorders>
            <w:vAlign w:val="center"/>
          </w:tcPr>
          <w:p w14:paraId="1EC7DDB5">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.16</w:t>
            </w:r>
          </w:p>
        </w:tc>
      </w:tr>
      <w:tr w14:paraId="5398AA60">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02FC9B2C">
            <w:pPr>
              <w:widowControl/>
              <w:jc w:val="center"/>
              <w:textAlignment w:val="center"/>
              <w:rPr>
                <w:rFonts w:ascii="仿宋" w:hAnsi="仿宋" w:eastAsia="仿宋" w:cs="仿宋"/>
                <w:sz w:val="18"/>
                <w:szCs w:val="18"/>
              </w:rPr>
            </w:pPr>
            <w:r>
              <w:rPr>
                <w:rFonts w:hint="eastAsia" w:ascii="仿宋" w:hAnsi="仿宋" w:eastAsia="仿宋" w:cs="仿宋"/>
                <w:sz w:val="18"/>
                <w:szCs w:val="18"/>
              </w:rPr>
              <w:t>日间精密度</w:t>
            </w:r>
            <w:r>
              <w:rPr>
                <w:rFonts w:ascii="仿宋" w:hAnsi="仿宋" w:eastAsia="仿宋" w:cs="仿宋"/>
                <w:sz w:val="18"/>
                <w:szCs w:val="18"/>
              </w:rPr>
              <w:t>RSD</w:t>
            </w:r>
            <w:r>
              <w:rPr>
                <w:rFonts w:hint="eastAsia" w:ascii="仿宋" w:hAnsi="仿宋" w:eastAsia="仿宋" w:cs="仿宋"/>
                <w:sz w:val="18"/>
                <w:szCs w:val="18"/>
              </w:rPr>
              <w:t>/</w:t>
            </w:r>
            <w:r>
              <w:rPr>
                <w:rFonts w:ascii="仿宋" w:hAnsi="仿宋" w:eastAsia="仿宋" w:cs="仿宋"/>
                <w:sz w:val="18"/>
                <w:szCs w:val="18"/>
              </w:rPr>
              <w:t>%</w:t>
            </w:r>
          </w:p>
          <w:p w14:paraId="2FD9955E">
            <w:pPr>
              <w:widowControl/>
              <w:jc w:val="center"/>
              <w:textAlignment w:val="center"/>
              <w:rPr>
                <w:rFonts w:ascii="仿宋" w:hAnsi="仿宋" w:eastAsia="仿宋" w:cs="仿宋"/>
                <w:sz w:val="18"/>
                <w:szCs w:val="18"/>
              </w:rPr>
            </w:pPr>
            <w:r>
              <w:rPr>
                <w:rFonts w:ascii="仿宋" w:hAnsi="仿宋" w:eastAsia="仿宋" w:cs="仿宋"/>
                <w:sz w:val="18"/>
                <w:szCs w:val="18"/>
              </w:rPr>
              <w:t>1000</w:t>
            </w:r>
            <w:r>
              <w:rPr>
                <w:rFonts w:hint="eastAsia" w:ascii="仿宋" w:hAnsi="仿宋" w:eastAsia="仿宋" w:cs="仿宋"/>
                <w:sz w:val="18"/>
                <w:szCs w:val="18"/>
              </w:rPr>
              <w:t>μg/mL</w:t>
            </w:r>
            <w:r>
              <w:rPr>
                <w:rFonts w:ascii="仿宋" w:hAnsi="仿宋" w:eastAsia="仿宋" w:cs="仿宋"/>
                <w:sz w:val="18"/>
                <w:szCs w:val="18"/>
              </w:rPr>
              <w:t xml:space="preserve">  Day3</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4943FB56">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.68</w:t>
            </w:r>
          </w:p>
        </w:tc>
        <w:tc>
          <w:tcPr>
            <w:tcW w:w="2126" w:type="dxa"/>
            <w:tcBorders>
              <w:top w:val="single" w:color="000000" w:sz="4" w:space="0"/>
              <w:left w:val="single" w:color="000000" w:sz="4" w:space="0"/>
              <w:bottom w:val="single" w:color="000000" w:sz="4" w:space="0"/>
              <w:right w:val="single" w:color="000000" w:sz="4" w:space="0"/>
            </w:tcBorders>
            <w:vAlign w:val="center"/>
          </w:tcPr>
          <w:p w14:paraId="500DE7F6">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.95</w:t>
            </w:r>
          </w:p>
        </w:tc>
        <w:tc>
          <w:tcPr>
            <w:tcW w:w="2149" w:type="dxa"/>
            <w:tcBorders>
              <w:top w:val="single" w:color="000000" w:sz="4" w:space="0"/>
              <w:left w:val="single" w:color="000000" w:sz="4" w:space="0"/>
              <w:bottom w:val="single" w:color="000000" w:sz="4" w:space="0"/>
              <w:right w:val="single" w:color="000000" w:sz="4" w:space="0"/>
            </w:tcBorders>
            <w:vAlign w:val="center"/>
          </w:tcPr>
          <w:p w14:paraId="40889A6A">
            <w:pPr>
              <w:widowControl/>
              <w:jc w:val="center"/>
              <w:textAlignment w:val="center"/>
              <w:rPr>
                <w:rFonts w:ascii="仿宋" w:hAnsi="仿宋" w:eastAsia="仿宋" w:cs="仿宋"/>
                <w:sz w:val="24"/>
                <w:szCs w:val="18"/>
              </w:rPr>
            </w:pPr>
            <w:r>
              <w:rPr>
                <w:rFonts w:hint="eastAsia" w:ascii="仿宋" w:hAnsi="仿宋" w:eastAsia="仿宋" w:cs="仿宋"/>
                <w:sz w:val="24"/>
                <w:szCs w:val="18"/>
              </w:rPr>
              <w:t>0</w:t>
            </w:r>
            <w:r>
              <w:rPr>
                <w:rFonts w:ascii="仿宋" w:hAnsi="仿宋" w:eastAsia="仿宋" w:cs="仿宋"/>
                <w:sz w:val="24"/>
                <w:szCs w:val="18"/>
              </w:rPr>
              <w:t>.15</w:t>
            </w:r>
          </w:p>
        </w:tc>
      </w:tr>
      <w:tr w14:paraId="685B567D">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22CD04DC">
            <w:pPr>
              <w:widowControl/>
              <w:jc w:val="center"/>
              <w:textAlignment w:val="center"/>
              <w:rPr>
                <w:rFonts w:ascii="仿宋" w:hAnsi="仿宋" w:eastAsia="仿宋" w:cs="仿宋"/>
                <w:sz w:val="18"/>
                <w:szCs w:val="18"/>
              </w:rPr>
            </w:pPr>
            <w:r>
              <w:rPr>
                <w:rFonts w:hint="eastAsia" w:ascii="仿宋" w:hAnsi="仿宋" w:eastAsia="仿宋" w:cs="仿宋"/>
                <w:sz w:val="18"/>
                <w:szCs w:val="18"/>
              </w:rPr>
              <w:t>常规样加标回收率</w:t>
            </w:r>
            <w:r>
              <w:rPr>
                <w:rFonts w:ascii="仿宋" w:hAnsi="仿宋" w:eastAsia="仿宋" w:cs="仿宋"/>
                <w:sz w:val="18"/>
                <w:szCs w:val="18"/>
              </w:rPr>
              <w:t>/%</w:t>
            </w:r>
          </w:p>
          <w:p w14:paraId="2E40398D">
            <w:pPr>
              <w:pStyle w:val="2"/>
              <w:ind w:firstLine="0" w:firstLineChars="0"/>
              <w:jc w:val="center"/>
              <w:rPr>
                <w:rFonts w:ascii="仿宋" w:hAnsi="仿宋" w:eastAsia="仿宋" w:cs="仿宋"/>
                <w:sz w:val="18"/>
                <w:szCs w:val="18"/>
                <w:lang w:val="en-US"/>
              </w:rPr>
            </w:pPr>
            <w:r>
              <w:rPr>
                <w:rFonts w:hint="eastAsia" w:ascii="仿宋" w:hAnsi="仿宋" w:eastAsia="仿宋" w:cs="仿宋"/>
                <w:sz w:val="18"/>
                <w:szCs w:val="18"/>
                <w:lang w:val="en-US"/>
              </w:rPr>
              <w:t>加标基础值2</w:t>
            </w:r>
            <w:r>
              <w:rPr>
                <w:rFonts w:ascii="仿宋" w:hAnsi="仿宋" w:eastAsia="仿宋" w:cs="仿宋"/>
                <w:sz w:val="18"/>
                <w:szCs w:val="18"/>
                <w:lang w:val="en-US"/>
              </w:rPr>
              <w:t>0%</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70EC9097">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9.28</w:t>
            </w:r>
          </w:p>
        </w:tc>
        <w:tc>
          <w:tcPr>
            <w:tcW w:w="2126" w:type="dxa"/>
            <w:tcBorders>
              <w:top w:val="single" w:color="000000" w:sz="4" w:space="0"/>
              <w:left w:val="single" w:color="000000" w:sz="4" w:space="0"/>
              <w:bottom w:val="single" w:color="000000" w:sz="4" w:space="0"/>
              <w:right w:val="single" w:color="000000" w:sz="4" w:space="0"/>
            </w:tcBorders>
            <w:vAlign w:val="center"/>
          </w:tcPr>
          <w:p w14:paraId="3E73DDCD">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9.53</w:t>
            </w:r>
          </w:p>
        </w:tc>
        <w:tc>
          <w:tcPr>
            <w:tcW w:w="2149" w:type="dxa"/>
            <w:tcBorders>
              <w:top w:val="single" w:color="000000" w:sz="4" w:space="0"/>
              <w:left w:val="single" w:color="000000" w:sz="4" w:space="0"/>
              <w:bottom w:val="single" w:color="000000" w:sz="4" w:space="0"/>
              <w:right w:val="single" w:color="000000" w:sz="4" w:space="0"/>
            </w:tcBorders>
            <w:vAlign w:val="center"/>
          </w:tcPr>
          <w:p w14:paraId="7E10DF81">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9.7</w:t>
            </w:r>
          </w:p>
        </w:tc>
      </w:tr>
      <w:tr w14:paraId="593A3479">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1311F8B7">
            <w:pPr>
              <w:widowControl/>
              <w:jc w:val="center"/>
              <w:textAlignment w:val="center"/>
              <w:rPr>
                <w:rFonts w:ascii="仿宋" w:hAnsi="仿宋" w:eastAsia="仿宋" w:cs="仿宋"/>
                <w:sz w:val="18"/>
                <w:szCs w:val="18"/>
              </w:rPr>
            </w:pPr>
            <w:r>
              <w:rPr>
                <w:rFonts w:hint="eastAsia" w:ascii="仿宋" w:hAnsi="仿宋" w:eastAsia="仿宋" w:cs="仿宋"/>
                <w:sz w:val="18"/>
                <w:szCs w:val="18"/>
              </w:rPr>
              <w:t>常规样加标回收率</w:t>
            </w:r>
            <w:r>
              <w:rPr>
                <w:rFonts w:ascii="仿宋" w:hAnsi="仿宋" w:eastAsia="仿宋" w:cs="仿宋"/>
                <w:sz w:val="18"/>
                <w:szCs w:val="18"/>
              </w:rPr>
              <w:t>/%</w:t>
            </w:r>
          </w:p>
          <w:p w14:paraId="337F4F43">
            <w:pPr>
              <w:widowControl/>
              <w:jc w:val="center"/>
              <w:textAlignment w:val="center"/>
              <w:rPr>
                <w:rFonts w:ascii="仿宋" w:hAnsi="仿宋" w:eastAsia="仿宋" w:cs="仿宋"/>
                <w:sz w:val="18"/>
                <w:szCs w:val="18"/>
              </w:rPr>
            </w:pPr>
            <w:r>
              <w:rPr>
                <w:rFonts w:hint="eastAsia" w:ascii="仿宋" w:hAnsi="仿宋" w:eastAsia="仿宋" w:cs="仿宋"/>
                <w:sz w:val="18"/>
                <w:szCs w:val="18"/>
              </w:rPr>
              <w:t>加标基础值</w:t>
            </w:r>
            <w:r>
              <w:rPr>
                <w:rFonts w:ascii="仿宋" w:hAnsi="仿宋" w:eastAsia="仿宋" w:cs="仿宋"/>
                <w:sz w:val="18"/>
                <w:szCs w:val="18"/>
              </w:rPr>
              <w:t>40%</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6107B75">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4.25</w:t>
            </w:r>
          </w:p>
        </w:tc>
        <w:tc>
          <w:tcPr>
            <w:tcW w:w="2126" w:type="dxa"/>
            <w:tcBorders>
              <w:top w:val="single" w:color="000000" w:sz="4" w:space="0"/>
              <w:left w:val="single" w:color="000000" w:sz="4" w:space="0"/>
              <w:bottom w:val="single" w:color="000000" w:sz="4" w:space="0"/>
              <w:right w:val="single" w:color="000000" w:sz="4" w:space="0"/>
            </w:tcBorders>
            <w:vAlign w:val="center"/>
          </w:tcPr>
          <w:p w14:paraId="315D013C">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4.01</w:t>
            </w:r>
          </w:p>
        </w:tc>
        <w:tc>
          <w:tcPr>
            <w:tcW w:w="2149" w:type="dxa"/>
            <w:tcBorders>
              <w:top w:val="single" w:color="000000" w:sz="4" w:space="0"/>
              <w:left w:val="single" w:color="000000" w:sz="4" w:space="0"/>
              <w:bottom w:val="single" w:color="000000" w:sz="4" w:space="0"/>
              <w:right w:val="single" w:color="000000" w:sz="4" w:space="0"/>
            </w:tcBorders>
            <w:vAlign w:val="center"/>
          </w:tcPr>
          <w:p w14:paraId="58052A72">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04.1</w:t>
            </w:r>
          </w:p>
        </w:tc>
      </w:tr>
      <w:tr w14:paraId="39C7EE3C">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28FBF6BA">
            <w:pPr>
              <w:widowControl/>
              <w:jc w:val="center"/>
              <w:textAlignment w:val="center"/>
              <w:rPr>
                <w:rFonts w:ascii="仿宋" w:hAnsi="仿宋" w:eastAsia="仿宋" w:cs="仿宋"/>
                <w:sz w:val="18"/>
                <w:szCs w:val="18"/>
              </w:rPr>
            </w:pPr>
            <w:r>
              <w:rPr>
                <w:rFonts w:hint="eastAsia" w:ascii="仿宋" w:hAnsi="仿宋" w:eastAsia="仿宋" w:cs="仿宋"/>
                <w:sz w:val="18"/>
                <w:szCs w:val="18"/>
              </w:rPr>
              <w:t>常规样加标回收率</w:t>
            </w:r>
            <w:r>
              <w:rPr>
                <w:rFonts w:ascii="仿宋" w:hAnsi="仿宋" w:eastAsia="仿宋" w:cs="仿宋"/>
                <w:sz w:val="18"/>
                <w:szCs w:val="18"/>
              </w:rPr>
              <w:t>/%</w:t>
            </w:r>
          </w:p>
          <w:p w14:paraId="6534FF35">
            <w:pPr>
              <w:widowControl/>
              <w:jc w:val="center"/>
              <w:textAlignment w:val="center"/>
              <w:rPr>
                <w:rFonts w:ascii="仿宋" w:hAnsi="仿宋" w:eastAsia="仿宋" w:cs="仿宋"/>
                <w:sz w:val="18"/>
                <w:szCs w:val="18"/>
              </w:rPr>
            </w:pPr>
            <w:r>
              <w:rPr>
                <w:rFonts w:hint="eastAsia" w:ascii="仿宋" w:hAnsi="仿宋" w:eastAsia="仿宋" w:cs="仿宋"/>
                <w:sz w:val="18"/>
                <w:szCs w:val="18"/>
              </w:rPr>
              <w:t>加标基础值</w:t>
            </w:r>
            <w:r>
              <w:rPr>
                <w:rFonts w:ascii="仿宋" w:hAnsi="仿宋" w:eastAsia="仿宋" w:cs="仿宋"/>
                <w:sz w:val="18"/>
                <w:szCs w:val="18"/>
              </w:rPr>
              <w:t>100%</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D2F7297">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00.41</w:t>
            </w:r>
          </w:p>
        </w:tc>
        <w:tc>
          <w:tcPr>
            <w:tcW w:w="2126" w:type="dxa"/>
            <w:tcBorders>
              <w:top w:val="single" w:color="000000" w:sz="4" w:space="0"/>
              <w:left w:val="single" w:color="000000" w:sz="4" w:space="0"/>
              <w:bottom w:val="single" w:color="000000" w:sz="4" w:space="0"/>
              <w:right w:val="single" w:color="000000" w:sz="4" w:space="0"/>
            </w:tcBorders>
            <w:vAlign w:val="center"/>
          </w:tcPr>
          <w:p w14:paraId="604BD8A1">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3.06</w:t>
            </w:r>
          </w:p>
        </w:tc>
        <w:tc>
          <w:tcPr>
            <w:tcW w:w="2149" w:type="dxa"/>
            <w:tcBorders>
              <w:top w:val="single" w:color="000000" w:sz="4" w:space="0"/>
              <w:left w:val="single" w:color="000000" w:sz="4" w:space="0"/>
              <w:bottom w:val="single" w:color="000000" w:sz="4" w:space="0"/>
              <w:right w:val="single" w:color="000000" w:sz="4" w:space="0"/>
            </w:tcBorders>
            <w:vAlign w:val="center"/>
          </w:tcPr>
          <w:p w14:paraId="58C28728">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9.0</w:t>
            </w:r>
          </w:p>
        </w:tc>
      </w:tr>
      <w:tr w14:paraId="443142FF">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460B526E">
            <w:pPr>
              <w:widowControl/>
              <w:jc w:val="center"/>
              <w:textAlignment w:val="center"/>
              <w:rPr>
                <w:rFonts w:ascii="仿宋" w:hAnsi="仿宋" w:eastAsia="仿宋" w:cs="仿宋"/>
                <w:sz w:val="18"/>
                <w:szCs w:val="18"/>
              </w:rPr>
            </w:pPr>
            <w:r>
              <w:rPr>
                <w:rFonts w:hint="eastAsia" w:ascii="仿宋" w:hAnsi="仿宋" w:eastAsia="仿宋" w:cs="仿宋"/>
                <w:sz w:val="18"/>
                <w:szCs w:val="18"/>
              </w:rPr>
              <w:t>蜡基质加标回收率</w:t>
            </w:r>
            <w:r>
              <w:rPr>
                <w:rFonts w:ascii="仿宋" w:hAnsi="仿宋" w:eastAsia="仿宋" w:cs="仿宋"/>
                <w:sz w:val="18"/>
                <w:szCs w:val="18"/>
              </w:rPr>
              <w:t>/%</w:t>
            </w:r>
          </w:p>
          <w:p w14:paraId="3B662F9C">
            <w:pPr>
              <w:widowControl/>
              <w:jc w:val="center"/>
              <w:textAlignment w:val="center"/>
              <w:rPr>
                <w:rFonts w:ascii="仿宋" w:hAnsi="仿宋" w:eastAsia="仿宋" w:cs="仿宋"/>
                <w:sz w:val="18"/>
                <w:szCs w:val="18"/>
              </w:rPr>
            </w:pPr>
            <w:r>
              <w:rPr>
                <w:rFonts w:hint="eastAsia" w:ascii="仿宋" w:hAnsi="仿宋" w:eastAsia="仿宋" w:cs="仿宋"/>
                <w:sz w:val="18"/>
                <w:szCs w:val="18"/>
              </w:rPr>
              <w:t>加标基础值2</w:t>
            </w:r>
            <w:r>
              <w:rPr>
                <w:rFonts w:ascii="仿宋" w:hAnsi="仿宋" w:eastAsia="仿宋" w:cs="仿宋"/>
                <w:sz w:val="18"/>
                <w:szCs w:val="18"/>
              </w:rPr>
              <w:t>0%</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A3D51DB">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7.66</w:t>
            </w:r>
          </w:p>
        </w:tc>
        <w:tc>
          <w:tcPr>
            <w:tcW w:w="2126" w:type="dxa"/>
            <w:tcBorders>
              <w:top w:val="single" w:color="000000" w:sz="4" w:space="0"/>
              <w:left w:val="single" w:color="000000" w:sz="4" w:space="0"/>
              <w:bottom w:val="single" w:color="000000" w:sz="4" w:space="0"/>
              <w:right w:val="single" w:color="000000" w:sz="4" w:space="0"/>
            </w:tcBorders>
            <w:vAlign w:val="center"/>
          </w:tcPr>
          <w:p w14:paraId="7D7A24C2">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01.96</w:t>
            </w:r>
          </w:p>
        </w:tc>
        <w:tc>
          <w:tcPr>
            <w:tcW w:w="2149" w:type="dxa"/>
            <w:tcBorders>
              <w:top w:val="single" w:color="000000" w:sz="4" w:space="0"/>
              <w:left w:val="single" w:color="000000" w:sz="4" w:space="0"/>
              <w:bottom w:val="single" w:color="000000" w:sz="4" w:space="0"/>
              <w:right w:val="single" w:color="000000" w:sz="4" w:space="0"/>
            </w:tcBorders>
            <w:vAlign w:val="center"/>
          </w:tcPr>
          <w:p w14:paraId="51E11D63">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9</w:t>
            </w:r>
            <w:r>
              <w:rPr>
                <w:rFonts w:hint="eastAsia" w:ascii="仿宋" w:hAnsi="仿宋" w:eastAsia="仿宋" w:cs="仿宋"/>
                <w:sz w:val="24"/>
                <w:szCs w:val="18"/>
              </w:rPr>
              <w:t>.</w:t>
            </w:r>
            <w:r>
              <w:rPr>
                <w:rFonts w:ascii="仿宋" w:hAnsi="仿宋" w:eastAsia="仿宋" w:cs="仿宋"/>
                <w:sz w:val="24"/>
                <w:szCs w:val="18"/>
              </w:rPr>
              <w:t>5</w:t>
            </w:r>
          </w:p>
        </w:tc>
      </w:tr>
      <w:tr w14:paraId="60D50984">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30E3F6EC">
            <w:pPr>
              <w:widowControl/>
              <w:jc w:val="center"/>
              <w:textAlignment w:val="center"/>
              <w:rPr>
                <w:rFonts w:ascii="仿宋" w:hAnsi="仿宋" w:eastAsia="仿宋" w:cs="仿宋"/>
                <w:sz w:val="18"/>
                <w:szCs w:val="18"/>
              </w:rPr>
            </w:pPr>
            <w:r>
              <w:rPr>
                <w:rFonts w:hint="eastAsia" w:ascii="仿宋" w:hAnsi="仿宋" w:eastAsia="仿宋" w:cs="仿宋"/>
                <w:sz w:val="18"/>
                <w:szCs w:val="18"/>
              </w:rPr>
              <w:t>蜡基质加标回收率</w:t>
            </w:r>
            <w:r>
              <w:rPr>
                <w:rFonts w:ascii="仿宋" w:hAnsi="仿宋" w:eastAsia="仿宋" w:cs="仿宋"/>
                <w:sz w:val="18"/>
                <w:szCs w:val="18"/>
              </w:rPr>
              <w:t>/%</w:t>
            </w:r>
          </w:p>
          <w:p w14:paraId="34847DBF">
            <w:pPr>
              <w:widowControl/>
              <w:jc w:val="center"/>
              <w:textAlignment w:val="center"/>
              <w:rPr>
                <w:rFonts w:ascii="仿宋" w:hAnsi="仿宋" w:eastAsia="仿宋" w:cs="仿宋"/>
                <w:sz w:val="18"/>
                <w:szCs w:val="18"/>
              </w:rPr>
            </w:pPr>
            <w:r>
              <w:rPr>
                <w:rFonts w:hint="eastAsia" w:ascii="仿宋" w:hAnsi="仿宋" w:eastAsia="仿宋" w:cs="仿宋"/>
                <w:sz w:val="18"/>
                <w:szCs w:val="18"/>
              </w:rPr>
              <w:t>加标基础值</w:t>
            </w:r>
            <w:r>
              <w:rPr>
                <w:rFonts w:ascii="仿宋" w:hAnsi="仿宋" w:eastAsia="仿宋" w:cs="仿宋"/>
                <w:sz w:val="18"/>
                <w:szCs w:val="18"/>
              </w:rPr>
              <w:t>40%</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59D8E333">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1.16</w:t>
            </w:r>
          </w:p>
        </w:tc>
        <w:tc>
          <w:tcPr>
            <w:tcW w:w="2126" w:type="dxa"/>
            <w:tcBorders>
              <w:top w:val="single" w:color="000000" w:sz="4" w:space="0"/>
              <w:left w:val="single" w:color="000000" w:sz="4" w:space="0"/>
              <w:bottom w:val="single" w:color="000000" w:sz="4" w:space="0"/>
              <w:right w:val="single" w:color="000000" w:sz="4" w:space="0"/>
            </w:tcBorders>
            <w:vAlign w:val="center"/>
          </w:tcPr>
          <w:p w14:paraId="7090FB0F">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6.31</w:t>
            </w:r>
          </w:p>
        </w:tc>
        <w:tc>
          <w:tcPr>
            <w:tcW w:w="2149" w:type="dxa"/>
            <w:tcBorders>
              <w:top w:val="single" w:color="000000" w:sz="4" w:space="0"/>
              <w:left w:val="single" w:color="000000" w:sz="4" w:space="0"/>
              <w:bottom w:val="single" w:color="000000" w:sz="4" w:space="0"/>
              <w:right w:val="single" w:color="000000" w:sz="4" w:space="0"/>
            </w:tcBorders>
            <w:vAlign w:val="center"/>
          </w:tcPr>
          <w:p w14:paraId="04FC5EFF">
            <w:pPr>
              <w:widowControl/>
              <w:jc w:val="center"/>
              <w:textAlignment w:val="center"/>
              <w:rPr>
                <w:rFonts w:ascii="仿宋" w:hAnsi="仿宋" w:eastAsia="仿宋" w:cs="仿宋"/>
                <w:sz w:val="24"/>
                <w:szCs w:val="18"/>
              </w:rPr>
            </w:pPr>
            <w:r>
              <w:rPr>
                <w:rFonts w:ascii="仿宋" w:hAnsi="仿宋" w:eastAsia="仿宋" w:cs="仿宋"/>
                <w:sz w:val="24"/>
                <w:szCs w:val="18"/>
              </w:rPr>
              <w:t>102.1</w:t>
            </w:r>
          </w:p>
        </w:tc>
      </w:tr>
      <w:tr w14:paraId="69A81D7C">
        <w:tblPrEx>
          <w:tblCellMar>
            <w:top w:w="0" w:type="dxa"/>
            <w:left w:w="108" w:type="dxa"/>
            <w:bottom w:w="0" w:type="dxa"/>
            <w:right w:w="108" w:type="dxa"/>
          </w:tblCellMar>
        </w:tblPrEx>
        <w:trPr>
          <w:trHeight w:val="400" w:hRule="atLeast"/>
          <w:jc w:val="center"/>
        </w:trPr>
        <w:tc>
          <w:tcPr>
            <w:tcW w:w="2122" w:type="dxa"/>
            <w:tcBorders>
              <w:top w:val="single" w:color="000000" w:sz="4" w:space="0"/>
              <w:left w:val="single" w:color="000000" w:sz="4" w:space="0"/>
              <w:bottom w:val="single" w:color="000000" w:sz="4" w:space="0"/>
              <w:right w:val="single" w:color="000000" w:sz="4" w:space="0"/>
            </w:tcBorders>
            <w:vAlign w:val="center"/>
          </w:tcPr>
          <w:p w14:paraId="67DB0596">
            <w:pPr>
              <w:widowControl/>
              <w:jc w:val="center"/>
              <w:textAlignment w:val="center"/>
              <w:rPr>
                <w:rFonts w:ascii="仿宋" w:hAnsi="仿宋" w:eastAsia="仿宋" w:cs="仿宋"/>
                <w:sz w:val="18"/>
                <w:szCs w:val="18"/>
              </w:rPr>
            </w:pPr>
            <w:r>
              <w:rPr>
                <w:rFonts w:hint="eastAsia" w:ascii="仿宋" w:hAnsi="仿宋" w:eastAsia="仿宋" w:cs="仿宋"/>
                <w:sz w:val="18"/>
                <w:szCs w:val="18"/>
              </w:rPr>
              <w:t>蜡基质加标回收率</w:t>
            </w:r>
            <w:r>
              <w:rPr>
                <w:rFonts w:ascii="仿宋" w:hAnsi="仿宋" w:eastAsia="仿宋" w:cs="仿宋"/>
                <w:sz w:val="18"/>
                <w:szCs w:val="18"/>
              </w:rPr>
              <w:t>/%</w:t>
            </w:r>
          </w:p>
          <w:p w14:paraId="58723644">
            <w:pPr>
              <w:widowControl/>
              <w:jc w:val="center"/>
              <w:textAlignment w:val="center"/>
              <w:rPr>
                <w:rFonts w:ascii="仿宋" w:hAnsi="仿宋" w:eastAsia="仿宋" w:cs="仿宋"/>
                <w:sz w:val="18"/>
                <w:szCs w:val="18"/>
              </w:rPr>
            </w:pPr>
            <w:r>
              <w:rPr>
                <w:rFonts w:hint="eastAsia" w:ascii="仿宋" w:hAnsi="仿宋" w:eastAsia="仿宋" w:cs="仿宋"/>
                <w:sz w:val="18"/>
                <w:szCs w:val="18"/>
              </w:rPr>
              <w:t>加标基础值</w:t>
            </w:r>
            <w:r>
              <w:rPr>
                <w:rFonts w:ascii="仿宋" w:hAnsi="仿宋" w:eastAsia="仿宋" w:cs="仿宋"/>
                <w:sz w:val="18"/>
                <w:szCs w:val="18"/>
              </w:rPr>
              <w:t>100%</w:t>
            </w:r>
          </w:p>
        </w:tc>
        <w:tc>
          <w:tcPr>
            <w:tcW w:w="2268" w:type="dxa"/>
            <w:tcBorders>
              <w:top w:val="single" w:color="000000" w:sz="4" w:space="0"/>
              <w:left w:val="single" w:color="000000" w:sz="4" w:space="0"/>
              <w:bottom w:val="single" w:color="000000" w:sz="4" w:space="0"/>
              <w:right w:val="single" w:color="000000" w:sz="4" w:space="0"/>
            </w:tcBorders>
            <w:noWrap/>
            <w:vAlign w:val="center"/>
          </w:tcPr>
          <w:p w14:paraId="3098A253">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3.88</w:t>
            </w:r>
          </w:p>
        </w:tc>
        <w:tc>
          <w:tcPr>
            <w:tcW w:w="2126" w:type="dxa"/>
            <w:tcBorders>
              <w:top w:val="single" w:color="000000" w:sz="4" w:space="0"/>
              <w:left w:val="single" w:color="000000" w:sz="4" w:space="0"/>
              <w:bottom w:val="single" w:color="000000" w:sz="4" w:space="0"/>
              <w:right w:val="single" w:color="000000" w:sz="4" w:space="0"/>
            </w:tcBorders>
            <w:vAlign w:val="center"/>
          </w:tcPr>
          <w:p w14:paraId="6A9818E6">
            <w:pPr>
              <w:widowControl/>
              <w:jc w:val="center"/>
              <w:textAlignment w:val="center"/>
              <w:rPr>
                <w:rFonts w:ascii="仿宋" w:hAnsi="仿宋" w:eastAsia="仿宋" w:cs="仿宋"/>
                <w:sz w:val="24"/>
                <w:szCs w:val="18"/>
              </w:rPr>
            </w:pPr>
            <w:r>
              <w:rPr>
                <w:rFonts w:hint="eastAsia" w:ascii="仿宋" w:hAnsi="仿宋" w:eastAsia="仿宋" w:cs="仿宋"/>
                <w:sz w:val="24"/>
                <w:szCs w:val="18"/>
              </w:rPr>
              <w:t>9</w:t>
            </w:r>
            <w:r>
              <w:rPr>
                <w:rFonts w:ascii="仿宋" w:hAnsi="仿宋" w:eastAsia="仿宋" w:cs="仿宋"/>
                <w:sz w:val="24"/>
                <w:szCs w:val="18"/>
              </w:rPr>
              <w:t>2.17</w:t>
            </w:r>
          </w:p>
        </w:tc>
        <w:tc>
          <w:tcPr>
            <w:tcW w:w="2149" w:type="dxa"/>
            <w:tcBorders>
              <w:top w:val="single" w:color="000000" w:sz="4" w:space="0"/>
              <w:left w:val="single" w:color="000000" w:sz="4" w:space="0"/>
              <w:bottom w:val="single" w:color="000000" w:sz="4" w:space="0"/>
              <w:right w:val="single" w:color="000000" w:sz="4" w:space="0"/>
            </w:tcBorders>
            <w:vAlign w:val="center"/>
          </w:tcPr>
          <w:p w14:paraId="68002C15">
            <w:pPr>
              <w:widowControl/>
              <w:jc w:val="center"/>
              <w:textAlignment w:val="center"/>
              <w:rPr>
                <w:rFonts w:ascii="仿宋" w:hAnsi="仿宋" w:eastAsia="仿宋" w:cs="仿宋"/>
                <w:sz w:val="24"/>
                <w:szCs w:val="18"/>
              </w:rPr>
            </w:pPr>
            <w:r>
              <w:rPr>
                <w:rFonts w:hint="eastAsia" w:ascii="仿宋" w:hAnsi="仿宋" w:eastAsia="仿宋" w:cs="仿宋"/>
                <w:sz w:val="24"/>
                <w:szCs w:val="18"/>
              </w:rPr>
              <w:t>1</w:t>
            </w:r>
            <w:r>
              <w:rPr>
                <w:rFonts w:ascii="仿宋" w:hAnsi="仿宋" w:eastAsia="仿宋" w:cs="仿宋"/>
                <w:sz w:val="24"/>
                <w:szCs w:val="18"/>
              </w:rPr>
              <w:t>03.3</w:t>
            </w:r>
          </w:p>
        </w:tc>
      </w:tr>
    </w:tbl>
    <w:p w14:paraId="7180018D">
      <w:pPr>
        <w:pStyle w:val="2"/>
        <w:numPr>
          <w:ilvl w:val="255"/>
          <w:numId w:val="0"/>
        </w:numPr>
        <w:spacing w:line="360" w:lineRule="auto"/>
        <w:ind w:firstLine="420" w:firstLineChars="200"/>
        <w:jc w:val="both"/>
        <w:rPr>
          <w:rFonts w:ascii="仿宋" w:hAnsi="仿宋" w:eastAsia="仿宋" w:cs="仿宋"/>
          <w:sz w:val="21"/>
          <w:szCs w:val="21"/>
        </w:rPr>
      </w:pPr>
      <w:r>
        <w:rPr>
          <w:rFonts w:hint="eastAsia" w:ascii="仿宋" w:hAnsi="仿宋" w:eastAsia="仿宋" w:cs="仿宋"/>
          <w:sz w:val="21"/>
          <w:szCs w:val="21"/>
        </w:rPr>
        <w:t>综合分析以上测试结果，该方法的检出限不低于1</w:t>
      </w:r>
      <w:r>
        <w:rPr>
          <w:rFonts w:ascii="仿宋" w:hAnsi="仿宋" w:eastAsia="仿宋" w:cs="仿宋"/>
          <w:sz w:val="21"/>
          <w:szCs w:val="21"/>
        </w:rPr>
        <w:t>.60</w:t>
      </w:r>
      <w:r>
        <w:rPr>
          <w:rFonts w:hint="eastAsia" w:ascii="仿宋" w:hAnsi="仿宋" w:eastAsia="仿宋" w:cs="仿宋"/>
          <w:sz w:val="21"/>
          <w:szCs w:val="21"/>
        </w:rPr>
        <w:t>μg/mL，定量限不低于5</w:t>
      </w:r>
      <w:r>
        <w:rPr>
          <w:rFonts w:ascii="仿宋" w:hAnsi="仿宋" w:eastAsia="仿宋" w:cs="仿宋"/>
          <w:sz w:val="21"/>
          <w:szCs w:val="21"/>
        </w:rPr>
        <w:t xml:space="preserve">.00 </w:t>
      </w:r>
      <w:r>
        <w:rPr>
          <w:rFonts w:hint="eastAsia" w:ascii="仿宋" w:hAnsi="仿宋" w:eastAsia="仿宋" w:cs="仿宋"/>
          <w:sz w:val="21"/>
          <w:szCs w:val="21"/>
        </w:rPr>
        <w:t>μg/mL，日内精密度和第二天、第三天的日间精密度均≤5</w:t>
      </w:r>
      <w:r>
        <w:rPr>
          <w:rFonts w:ascii="仿宋" w:hAnsi="仿宋" w:eastAsia="仿宋" w:cs="仿宋"/>
          <w:sz w:val="21"/>
          <w:szCs w:val="21"/>
        </w:rPr>
        <w:t>.0%</w:t>
      </w:r>
      <w:r>
        <w:rPr>
          <w:rFonts w:hint="eastAsia" w:ascii="仿宋" w:hAnsi="仿宋" w:eastAsia="仿宋" w:cs="仿宋"/>
          <w:sz w:val="21"/>
          <w:szCs w:val="21"/>
        </w:rPr>
        <w:t>，表明该方法具有较好的稳定性，在常规样品和蜡基质样品中加标2</w:t>
      </w:r>
      <w:r>
        <w:rPr>
          <w:rFonts w:ascii="仿宋" w:hAnsi="仿宋" w:eastAsia="仿宋" w:cs="仿宋"/>
          <w:sz w:val="21"/>
          <w:szCs w:val="21"/>
        </w:rPr>
        <w:t>0%</w:t>
      </w:r>
      <w:r>
        <w:rPr>
          <w:rFonts w:hint="eastAsia" w:ascii="仿宋" w:hAnsi="仿宋" w:eastAsia="仿宋" w:cs="仿宋"/>
          <w:sz w:val="21"/>
          <w:szCs w:val="21"/>
        </w:rPr>
        <w:t>、4</w:t>
      </w:r>
      <w:r>
        <w:rPr>
          <w:rFonts w:ascii="仿宋" w:hAnsi="仿宋" w:eastAsia="仿宋" w:cs="仿宋"/>
          <w:sz w:val="21"/>
          <w:szCs w:val="21"/>
        </w:rPr>
        <w:t>0%</w:t>
      </w:r>
      <w:r>
        <w:rPr>
          <w:rFonts w:hint="eastAsia" w:ascii="仿宋" w:hAnsi="仿宋" w:eastAsia="仿宋" w:cs="仿宋"/>
          <w:sz w:val="21"/>
          <w:szCs w:val="21"/>
        </w:rPr>
        <w:t>和1</w:t>
      </w:r>
      <w:r>
        <w:rPr>
          <w:rFonts w:ascii="仿宋" w:hAnsi="仿宋" w:eastAsia="仿宋" w:cs="仿宋"/>
          <w:sz w:val="21"/>
          <w:szCs w:val="21"/>
        </w:rPr>
        <w:t>00%</w:t>
      </w:r>
      <w:r>
        <w:rPr>
          <w:rFonts w:hint="eastAsia" w:ascii="仿宋" w:hAnsi="仿宋" w:eastAsia="仿宋" w:cs="仿宋"/>
          <w:sz w:val="21"/>
          <w:szCs w:val="21"/>
        </w:rPr>
        <w:t>，加标回收率均在9</w:t>
      </w:r>
      <w:r>
        <w:rPr>
          <w:rFonts w:ascii="仿宋" w:hAnsi="仿宋" w:eastAsia="仿宋" w:cs="仿宋"/>
          <w:sz w:val="21"/>
          <w:szCs w:val="21"/>
        </w:rPr>
        <w:t>0-110%</w:t>
      </w:r>
      <w:r>
        <w:rPr>
          <w:rFonts w:hint="eastAsia" w:ascii="仿宋" w:hAnsi="仿宋" w:eastAsia="仿宋" w:cs="仿宋"/>
          <w:sz w:val="21"/>
          <w:szCs w:val="21"/>
        </w:rPr>
        <w:t>之间，说明该方法具有较好的适应性。从起草工作组的检测数据和另两家验证单位的验证数据来看，本标准</w:t>
      </w:r>
      <w:r>
        <w:rPr>
          <w:rFonts w:hint="eastAsia" w:ascii="仿宋" w:hAnsi="仿宋" w:eastAsia="仿宋" w:cs="仿宋"/>
          <w:sz w:val="21"/>
          <w:szCs w:val="21"/>
          <w:lang w:val="en-US"/>
        </w:rPr>
        <w:t>草案</w:t>
      </w:r>
      <w:r>
        <w:rPr>
          <w:rFonts w:hint="eastAsia" w:ascii="仿宋" w:hAnsi="仿宋" w:eastAsia="仿宋" w:cs="仿宋"/>
          <w:sz w:val="21"/>
          <w:szCs w:val="21"/>
        </w:rPr>
        <w:t>所设计的检验方法是具有广泛适用性，较高重复性和准确性的。</w:t>
      </w:r>
    </w:p>
    <w:p w14:paraId="56C86074">
      <w:pPr>
        <w:spacing w:line="360" w:lineRule="auto"/>
        <w:rPr>
          <w:rFonts w:ascii="Times New Roman" w:hAnsi="Times New Roman" w:eastAsia="宋体"/>
          <w:sz w:val="24"/>
          <w:szCs w:val="24"/>
        </w:rPr>
      </w:pPr>
      <w:r>
        <w:rPr>
          <w:rFonts w:ascii="Times New Roman" w:hAnsi="Times New Roman" w:eastAsia="宋体"/>
          <w:b/>
          <w:bCs/>
          <w:sz w:val="24"/>
          <w:szCs w:val="24"/>
        </w:rPr>
        <w:t>六、征求意见的采纳情况（附《征求意见汇总处理表》、重大意见分歧的处理结果和依据）</w:t>
      </w:r>
    </w:p>
    <w:p w14:paraId="60292113">
      <w:pPr>
        <w:adjustRightInd w:val="0"/>
        <w:spacing w:line="360" w:lineRule="auto"/>
        <w:ind w:firstLine="420" w:firstLineChars="200"/>
        <w:textAlignment w:val="baseline"/>
        <w:rPr>
          <w:rFonts w:ascii="仿宋" w:hAnsi="仿宋" w:eastAsia="仿宋" w:cs="仿宋"/>
          <w:szCs w:val="21"/>
        </w:rPr>
      </w:pPr>
      <w:r>
        <w:rPr>
          <w:rFonts w:hint="eastAsia" w:ascii="仿宋" w:hAnsi="仿宋" w:eastAsia="仿宋" w:cs="仿宋"/>
          <w:szCs w:val="21"/>
        </w:rPr>
        <w:t>无</w:t>
      </w:r>
    </w:p>
    <w:p w14:paraId="24E6B510">
      <w:pPr>
        <w:pStyle w:val="27"/>
        <w:adjustRightInd w:val="0"/>
        <w:spacing w:line="360" w:lineRule="auto"/>
        <w:ind w:firstLine="0" w:firstLineChars="0"/>
        <w:textAlignment w:val="baseline"/>
        <w:rPr>
          <w:rFonts w:ascii="Times New Roman" w:hAnsi="Times New Roman" w:eastAsia="宋体"/>
          <w:b/>
          <w:bCs/>
          <w:sz w:val="24"/>
          <w:szCs w:val="24"/>
        </w:rPr>
      </w:pPr>
      <w:r>
        <w:rPr>
          <w:rFonts w:hint="eastAsia" w:ascii="Times New Roman" w:hAnsi="Times New Roman" w:eastAsia="宋体"/>
          <w:b/>
          <w:bCs/>
          <w:sz w:val="24"/>
          <w:szCs w:val="24"/>
        </w:rPr>
        <w:t>七、</w:t>
      </w:r>
      <w:r>
        <w:rPr>
          <w:rFonts w:ascii="Times New Roman" w:hAnsi="Times New Roman" w:eastAsia="宋体"/>
          <w:b/>
          <w:bCs/>
          <w:sz w:val="24"/>
          <w:szCs w:val="24"/>
        </w:rPr>
        <w:t>标准实施日期和实施建议</w:t>
      </w:r>
    </w:p>
    <w:p w14:paraId="41BCF483">
      <w:pPr>
        <w:adjustRightInd w:val="0"/>
        <w:spacing w:line="360" w:lineRule="auto"/>
        <w:ind w:firstLine="420" w:firstLineChars="200"/>
        <w:textAlignment w:val="baseline"/>
        <w:rPr>
          <w:rFonts w:ascii="仿宋" w:hAnsi="仿宋" w:eastAsia="仿宋" w:cs="仿宋"/>
          <w:szCs w:val="21"/>
        </w:rPr>
      </w:pPr>
      <w:r>
        <w:rPr>
          <w:rFonts w:hint="eastAsia" w:ascii="仿宋" w:hAnsi="仿宋" w:eastAsia="仿宋" w:cs="仿宋"/>
          <w:szCs w:val="21"/>
        </w:rPr>
        <w:t>无</w:t>
      </w:r>
    </w:p>
    <w:p w14:paraId="08FD2D4B">
      <w:pPr>
        <w:adjustRightInd w:val="0"/>
        <w:spacing w:line="360" w:lineRule="auto"/>
        <w:textAlignment w:val="baseline"/>
        <w:rPr>
          <w:rFonts w:ascii="Times New Roman" w:hAnsi="Times New Roman" w:eastAsia="宋体"/>
          <w:b/>
          <w:bCs/>
          <w:sz w:val="24"/>
          <w:szCs w:val="24"/>
        </w:rPr>
      </w:pPr>
      <w:r>
        <w:rPr>
          <w:rFonts w:ascii="Times New Roman" w:hAnsi="Times New Roman" w:eastAsia="宋体"/>
          <w:b/>
          <w:bCs/>
          <w:sz w:val="24"/>
          <w:szCs w:val="24"/>
        </w:rPr>
        <w:t>八、其他需要说明的事项（含涉及专利情况说明）</w:t>
      </w:r>
    </w:p>
    <w:p w14:paraId="73BF58B4">
      <w:pPr>
        <w:spacing w:line="360" w:lineRule="auto"/>
        <w:ind w:firstLine="210" w:firstLineChars="100"/>
        <w:rPr>
          <w:rFonts w:ascii="仿宋" w:hAnsi="仿宋" w:eastAsia="仿宋" w:cs="仿宋"/>
          <w:szCs w:val="21"/>
        </w:rPr>
      </w:pPr>
      <w:r>
        <w:rPr>
          <w:rFonts w:hint="eastAsia" w:ascii="仿宋" w:hAnsi="仿宋" w:eastAsia="仿宋" w:cs="仿宋"/>
          <w:szCs w:val="21"/>
        </w:rPr>
        <w:t>本方法在建立过程中引用的专利：《一种检测化妆品中依克多因的方法》唐毓萍等，</w:t>
      </w:r>
      <w:r>
        <w:rPr>
          <w:rFonts w:ascii="仿宋" w:hAnsi="仿宋" w:eastAsia="仿宋" w:cs="仿宋"/>
          <w:szCs w:val="21"/>
        </w:rPr>
        <w:t>CN 111983076 B</w:t>
      </w:r>
      <w:r>
        <w:rPr>
          <w:rFonts w:hint="eastAsia" w:ascii="仿宋" w:hAnsi="仿宋" w:eastAsia="仿宋" w:cs="仿宋"/>
          <w:szCs w:val="21"/>
        </w:rPr>
        <w:t>，已获得专利所有人华熙生物科技股份有限公司专利实施许可声明，专利权人或专利申请人同意在公平、合理、无歧视基础上，有偿许可任何组织或者个人在实施标准时实施专利。</w:t>
      </w:r>
    </w:p>
    <w:p w14:paraId="0EBAF604">
      <w:pPr>
        <w:spacing w:line="360" w:lineRule="auto"/>
        <w:ind w:firstLine="420" w:firstLineChars="200"/>
      </w:pPr>
    </w:p>
    <w:p w14:paraId="357CBE69">
      <w:pPr>
        <w:spacing w:line="360" w:lineRule="auto"/>
        <w:ind w:firstLine="420" w:firstLineChars="200"/>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30F546"/>
    <w:multiLevelType w:val="singleLevel"/>
    <w:tmpl w:val="CF30F546"/>
    <w:lvl w:ilvl="0" w:tentative="0">
      <w:start w:val="2"/>
      <w:numFmt w:val="decimal"/>
      <w:lvlText w:val="%1."/>
      <w:lvlJc w:val="left"/>
      <w:pPr>
        <w:tabs>
          <w:tab w:val="left" w:pos="312"/>
        </w:tabs>
      </w:pPr>
    </w:lvl>
  </w:abstractNum>
  <w:abstractNum w:abstractNumId="1">
    <w:nsid w:val="FC257497"/>
    <w:multiLevelType w:val="singleLevel"/>
    <w:tmpl w:val="FC257497"/>
    <w:lvl w:ilvl="0" w:tentative="0">
      <w:start w:val="5"/>
      <w:numFmt w:val="chineseCounting"/>
      <w:suff w:val="nothing"/>
      <w:lvlText w:val="%1、"/>
      <w:lvlJc w:val="left"/>
      <w:rPr>
        <w:rFonts w:hint="eastAsia"/>
      </w:rPr>
    </w:lvl>
  </w:abstractNum>
  <w:abstractNum w:abstractNumId="2">
    <w:nsid w:val="25ED339F"/>
    <w:multiLevelType w:val="multilevel"/>
    <w:tmpl w:val="25ED339F"/>
    <w:lvl w:ilvl="0" w:tentative="0">
      <w:start w:val="2"/>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kyZjYyY2M5NzQ1Njk2ZDVkNTMxYjJmN2FjOGZhNTEifQ=="/>
  </w:docVars>
  <w:rsids>
    <w:rsidRoot w:val="004268FF"/>
    <w:rsid w:val="000029DF"/>
    <w:rsid w:val="000068C6"/>
    <w:rsid w:val="000101A2"/>
    <w:rsid w:val="00010370"/>
    <w:rsid w:val="00014800"/>
    <w:rsid w:val="0001763C"/>
    <w:rsid w:val="0002345F"/>
    <w:rsid w:val="00031B45"/>
    <w:rsid w:val="000336B8"/>
    <w:rsid w:val="0003629E"/>
    <w:rsid w:val="00041715"/>
    <w:rsid w:val="0004644C"/>
    <w:rsid w:val="000505BD"/>
    <w:rsid w:val="00050E5D"/>
    <w:rsid w:val="0005232E"/>
    <w:rsid w:val="00052A51"/>
    <w:rsid w:val="00052FD5"/>
    <w:rsid w:val="0005774C"/>
    <w:rsid w:val="00060E11"/>
    <w:rsid w:val="00063F58"/>
    <w:rsid w:val="00063FF9"/>
    <w:rsid w:val="0006759B"/>
    <w:rsid w:val="000710FA"/>
    <w:rsid w:val="00071A05"/>
    <w:rsid w:val="00071E5A"/>
    <w:rsid w:val="00072311"/>
    <w:rsid w:val="000745AD"/>
    <w:rsid w:val="00076F5D"/>
    <w:rsid w:val="000811A3"/>
    <w:rsid w:val="000839F5"/>
    <w:rsid w:val="00086098"/>
    <w:rsid w:val="00086245"/>
    <w:rsid w:val="000862C3"/>
    <w:rsid w:val="000916A3"/>
    <w:rsid w:val="00092811"/>
    <w:rsid w:val="00092B1A"/>
    <w:rsid w:val="00096DBB"/>
    <w:rsid w:val="000A1FCB"/>
    <w:rsid w:val="000B1219"/>
    <w:rsid w:val="000B1DDE"/>
    <w:rsid w:val="000B364D"/>
    <w:rsid w:val="000B40DD"/>
    <w:rsid w:val="000B5941"/>
    <w:rsid w:val="000B6A87"/>
    <w:rsid w:val="000B766C"/>
    <w:rsid w:val="000B7943"/>
    <w:rsid w:val="000C15A6"/>
    <w:rsid w:val="000C2905"/>
    <w:rsid w:val="000C5252"/>
    <w:rsid w:val="000C62A6"/>
    <w:rsid w:val="000D512B"/>
    <w:rsid w:val="000E3B6C"/>
    <w:rsid w:val="000E3F87"/>
    <w:rsid w:val="000E525C"/>
    <w:rsid w:val="000E5B06"/>
    <w:rsid w:val="000F04CB"/>
    <w:rsid w:val="000F0C4A"/>
    <w:rsid w:val="000F1180"/>
    <w:rsid w:val="000F2439"/>
    <w:rsid w:val="000F25D2"/>
    <w:rsid w:val="000F4732"/>
    <w:rsid w:val="000F5797"/>
    <w:rsid w:val="000F7A8E"/>
    <w:rsid w:val="0010076A"/>
    <w:rsid w:val="001012F3"/>
    <w:rsid w:val="00106B1D"/>
    <w:rsid w:val="00106F8A"/>
    <w:rsid w:val="00110A85"/>
    <w:rsid w:val="001155D7"/>
    <w:rsid w:val="00120561"/>
    <w:rsid w:val="001217D4"/>
    <w:rsid w:val="00122799"/>
    <w:rsid w:val="001228B6"/>
    <w:rsid w:val="001254BD"/>
    <w:rsid w:val="001255CD"/>
    <w:rsid w:val="0012744B"/>
    <w:rsid w:val="00130F14"/>
    <w:rsid w:val="0013368C"/>
    <w:rsid w:val="00133D13"/>
    <w:rsid w:val="00134750"/>
    <w:rsid w:val="001376DC"/>
    <w:rsid w:val="00137D59"/>
    <w:rsid w:val="0014072B"/>
    <w:rsid w:val="00140A56"/>
    <w:rsid w:val="00145751"/>
    <w:rsid w:val="0014792D"/>
    <w:rsid w:val="001554CF"/>
    <w:rsid w:val="00156A96"/>
    <w:rsid w:val="00157361"/>
    <w:rsid w:val="00157561"/>
    <w:rsid w:val="001609AB"/>
    <w:rsid w:val="00166754"/>
    <w:rsid w:val="001672B5"/>
    <w:rsid w:val="00167D02"/>
    <w:rsid w:val="00170DB7"/>
    <w:rsid w:val="00173829"/>
    <w:rsid w:val="001769C5"/>
    <w:rsid w:val="001774E1"/>
    <w:rsid w:val="001803AE"/>
    <w:rsid w:val="00183A92"/>
    <w:rsid w:val="00185848"/>
    <w:rsid w:val="001866E9"/>
    <w:rsid w:val="0018723A"/>
    <w:rsid w:val="001877D9"/>
    <w:rsid w:val="00187FB3"/>
    <w:rsid w:val="001904FD"/>
    <w:rsid w:val="00190CB5"/>
    <w:rsid w:val="00190E9E"/>
    <w:rsid w:val="00191193"/>
    <w:rsid w:val="001922FB"/>
    <w:rsid w:val="00192732"/>
    <w:rsid w:val="001939AB"/>
    <w:rsid w:val="001A0E14"/>
    <w:rsid w:val="001A295A"/>
    <w:rsid w:val="001A4A80"/>
    <w:rsid w:val="001A52B3"/>
    <w:rsid w:val="001A624A"/>
    <w:rsid w:val="001A7EEA"/>
    <w:rsid w:val="001B2550"/>
    <w:rsid w:val="001B3188"/>
    <w:rsid w:val="001B4605"/>
    <w:rsid w:val="001B6542"/>
    <w:rsid w:val="001B7D80"/>
    <w:rsid w:val="001C01AB"/>
    <w:rsid w:val="001C5EB4"/>
    <w:rsid w:val="001C670D"/>
    <w:rsid w:val="001C75FD"/>
    <w:rsid w:val="001D1968"/>
    <w:rsid w:val="001D2BBF"/>
    <w:rsid w:val="001D4624"/>
    <w:rsid w:val="001D6FD8"/>
    <w:rsid w:val="001E1CD9"/>
    <w:rsid w:val="001E2BFD"/>
    <w:rsid w:val="001E2CB9"/>
    <w:rsid w:val="001E4C50"/>
    <w:rsid w:val="001E61E9"/>
    <w:rsid w:val="001E6E1F"/>
    <w:rsid w:val="001E797F"/>
    <w:rsid w:val="001E7DE2"/>
    <w:rsid w:val="001F385E"/>
    <w:rsid w:val="001F5E04"/>
    <w:rsid w:val="001F6FA9"/>
    <w:rsid w:val="00200CD6"/>
    <w:rsid w:val="002041E5"/>
    <w:rsid w:val="00211DFF"/>
    <w:rsid w:val="00213BD6"/>
    <w:rsid w:val="0021626D"/>
    <w:rsid w:val="00221166"/>
    <w:rsid w:val="002220BA"/>
    <w:rsid w:val="00223F58"/>
    <w:rsid w:val="002241FC"/>
    <w:rsid w:val="002263FB"/>
    <w:rsid w:val="0022675D"/>
    <w:rsid w:val="00227C3B"/>
    <w:rsid w:val="002301F5"/>
    <w:rsid w:val="00230E49"/>
    <w:rsid w:val="0023179F"/>
    <w:rsid w:val="00233430"/>
    <w:rsid w:val="002355AE"/>
    <w:rsid w:val="00242A9E"/>
    <w:rsid w:val="00243F83"/>
    <w:rsid w:val="00244C27"/>
    <w:rsid w:val="00245E8B"/>
    <w:rsid w:val="00246A81"/>
    <w:rsid w:val="00251771"/>
    <w:rsid w:val="00251E9D"/>
    <w:rsid w:val="00252E74"/>
    <w:rsid w:val="00253B34"/>
    <w:rsid w:val="002547FF"/>
    <w:rsid w:val="00260254"/>
    <w:rsid w:val="0026370B"/>
    <w:rsid w:val="00266093"/>
    <w:rsid w:val="00266CCC"/>
    <w:rsid w:val="00270FE8"/>
    <w:rsid w:val="00271871"/>
    <w:rsid w:val="002724F7"/>
    <w:rsid w:val="00272793"/>
    <w:rsid w:val="00274056"/>
    <w:rsid w:val="002742F4"/>
    <w:rsid w:val="002761BC"/>
    <w:rsid w:val="00280D29"/>
    <w:rsid w:val="00284B66"/>
    <w:rsid w:val="00284C25"/>
    <w:rsid w:val="00291516"/>
    <w:rsid w:val="00293458"/>
    <w:rsid w:val="00297AF7"/>
    <w:rsid w:val="002A0E8E"/>
    <w:rsid w:val="002A4B19"/>
    <w:rsid w:val="002A5F5A"/>
    <w:rsid w:val="002A666E"/>
    <w:rsid w:val="002B2097"/>
    <w:rsid w:val="002C0879"/>
    <w:rsid w:val="002C3732"/>
    <w:rsid w:val="002C3B02"/>
    <w:rsid w:val="002C6E27"/>
    <w:rsid w:val="002C7F69"/>
    <w:rsid w:val="002E0062"/>
    <w:rsid w:val="002E1AC4"/>
    <w:rsid w:val="002E699B"/>
    <w:rsid w:val="002F0858"/>
    <w:rsid w:val="002F1419"/>
    <w:rsid w:val="002F1AD0"/>
    <w:rsid w:val="002F430D"/>
    <w:rsid w:val="002F4539"/>
    <w:rsid w:val="002F572A"/>
    <w:rsid w:val="002F79B7"/>
    <w:rsid w:val="003006B0"/>
    <w:rsid w:val="00301D5D"/>
    <w:rsid w:val="00302925"/>
    <w:rsid w:val="00303A03"/>
    <w:rsid w:val="00303C20"/>
    <w:rsid w:val="00306DA2"/>
    <w:rsid w:val="003100EA"/>
    <w:rsid w:val="003105F0"/>
    <w:rsid w:val="00310FFD"/>
    <w:rsid w:val="0031182E"/>
    <w:rsid w:val="0031424D"/>
    <w:rsid w:val="0031528E"/>
    <w:rsid w:val="00324178"/>
    <w:rsid w:val="00324CF7"/>
    <w:rsid w:val="00325890"/>
    <w:rsid w:val="003265CC"/>
    <w:rsid w:val="00326BE7"/>
    <w:rsid w:val="00330936"/>
    <w:rsid w:val="00331BA0"/>
    <w:rsid w:val="00331C94"/>
    <w:rsid w:val="00332772"/>
    <w:rsid w:val="0033278C"/>
    <w:rsid w:val="00334AA7"/>
    <w:rsid w:val="003356A1"/>
    <w:rsid w:val="0033719E"/>
    <w:rsid w:val="00341DDD"/>
    <w:rsid w:val="003450C6"/>
    <w:rsid w:val="003478B0"/>
    <w:rsid w:val="00352D75"/>
    <w:rsid w:val="00356D82"/>
    <w:rsid w:val="00356FEA"/>
    <w:rsid w:val="00360513"/>
    <w:rsid w:val="00362189"/>
    <w:rsid w:val="00367362"/>
    <w:rsid w:val="00367ABC"/>
    <w:rsid w:val="003711AC"/>
    <w:rsid w:val="00375F7E"/>
    <w:rsid w:val="00376F5C"/>
    <w:rsid w:val="00380879"/>
    <w:rsid w:val="003848E2"/>
    <w:rsid w:val="00386F02"/>
    <w:rsid w:val="003875FC"/>
    <w:rsid w:val="00387A7E"/>
    <w:rsid w:val="00392D34"/>
    <w:rsid w:val="00393C51"/>
    <w:rsid w:val="00393EA9"/>
    <w:rsid w:val="00394805"/>
    <w:rsid w:val="003A0BFB"/>
    <w:rsid w:val="003A1D1C"/>
    <w:rsid w:val="003A4FDE"/>
    <w:rsid w:val="003A5271"/>
    <w:rsid w:val="003A6C77"/>
    <w:rsid w:val="003B15B6"/>
    <w:rsid w:val="003B2AF5"/>
    <w:rsid w:val="003B2F7D"/>
    <w:rsid w:val="003B3B6C"/>
    <w:rsid w:val="003B76CE"/>
    <w:rsid w:val="003C50D3"/>
    <w:rsid w:val="003C5971"/>
    <w:rsid w:val="003D0B26"/>
    <w:rsid w:val="003D15FB"/>
    <w:rsid w:val="003D2083"/>
    <w:rsid w:val="003D365F"/>
    <w:rsid w:val="003E192C"/>
    <w:rsid w:val="003E6132"/>
    <w:rsid w:val="003E7972"/>
    <w:rsid w:val="003F0C69"/>
    <w:rsid w:val="003F197A"/>
    <w:rsid w:val="003F2A3A"/>
    <w:rsid w:val="003F40FC"/>
    <w:rsid w:val="003F714A"/>
    <w:rsid w:val="00401408"/>
    <w:rsid w:val="00403F38"/>
    <w:rsid w:val="004053B1"/>
    <w:rsid w:val="00405FB7"/>
    <w:rsid w:val="0040613F"/>
    <w:rsid w:val="00406617"/>
    <w:rsid w:val="00410A9C"/>
    <w:rsid w:val="00411DE9"/>
    <w:rsid w:val="00412BF2"/>
    <w:rsid w:val="0041344E"/>
    <w:rsid w:val="00420222"/>
    <w:rsid w:val="004235FE"/>
    <w:rsid w:val="00423AA9"/>
    <w:rsid w:val="00423CAE"/>
    <w:rsid w:val="00425ED7"/>
    <w:rsid w:val="004268FF"/>
    <w:rsid w:val="00432B91"/>
    <w:rsid w:val="004370A3"/>
    <w:rsid w:val="00437ED0"/>
    <w:rsid w:val="004400F7"/>
    <w:rsid w:val="00440AEF"/>
    <w:rsid w:val="0044100A"/>
    <w:rsid w:val="00441E8B"/>
    <w:rsid w:val="0044668A"/>
    <w:rsid w:val="00450BA7"/>
    <w:rsid w:val="00451F8C"/>
    <w:rsid w:val="0045328B"/>
    <w:rsid w:val="00457787"/>
    <w:rsid w:val="00457BF1"/>
    <w:rsid w:val="004657CC"/>
    <w:rsid w:val="00470627"/>
    <w:rsid w:val="00471973"/>
    <w:rsid w:val="004726EE"/>
    <w:rsid w:val="004729F2"/>
    <w:rsid w:val="00474966"/>
    <w:rsid w:val="004750D0"/>
    <w:rsid w:val="004752FC"/>
    <w:rsid w:val="00476092"/>
    <w:rsid w:val="0048095B"/>
    <w:rsid w:val="00481669"/>
    <w:rsid w:val="0048167D"/>
    <w:rsid w:val="00487F0F"/>
    <w:rsid w:val="004906DF"/>
    <w:rsid w:val="00492239"/>
    <w:rsid w:val="004961A2"/>
    <w:rsid w:val="004A0B56"/>
    <w:rsid w:val="004A26E2"/>
    <w:rsid w:val="004A2CD2"/>
    <w:rsid w:val="004A425A"/>
    <w:rsid w:val="004A6993"/>
    <w:rsid w:val="004B18C6"/>
    <w:rsid w:val="004B5585"/>
    <w:rsid w:val="004B55B1"/>
    <w:rsid w:val="004B7C4C"/>
    <w:rsid w:val="004C1FC8"/>
    <w:rsid w:val="004C72DB"/>
    <w:rsid w:val="004D1C57"/>
    <w:rsid w:val="004D2C14"/>
    <w:rsid w:val="004D3F82"/>
    <w:rsid w:val="004D423C"/>
    <w:rsid w:val="004D5A22"/>
    <w:rsid w:val="004D6C84"/>
    <w:rsid w:val="004E07DF"/>
    <w:rsid w:val="004E0F47"/>
    <w:rsid w:val="004E0FC9"/>
    <w:rsid w:val="004E1FD1"/>
    <w:rsid w:val="004E1FD9"/>
    <w:rsid w:val="004E48A8"/>
    <w:rsid w:val="004E5A7E"/>
    <w:rsid w:val="004E5C08"/>
    <w:rsid w:val="004E69CE"/>
    <w:rsid w:val="004F1BEE"/>
    <w:rsid w:val="004F56DB"/>
    <w:rsid w:val="0050037D"/>
    <w:rsid w:val="005003CF"/>
    <w:rsid w:val="00502CCF"/>
    <w:rsid w:val="00505375"/>
    <w:rsid w:val="005067B6"/>
    <w:rsid w:val="005131AD"/>
    <w:rsid w:val="005144E5"/>
    <w:rsid w:val="005151C2"/>
    <w:rsid w:val="00516670"/>
    <w:rsid w:val="0051689A"/>
    <w:rsid w:val="00516FCC"/>
    <w:rsid w:val="0052072A"/>
    <w:rsid w:val="005213B8"/>
    <w:rsid w:val="00521785"/>
    <w:rsid w:val="00522AA2"/>
    <w:rsid w:val="00523A7C"/>
    <w:rsid w:val="005300E3"/>
    <w:rsid w:val="00531797"/>
    <w:rsid w:val="005324EB"/>
    <w:rsid w:val="00536703"/>
    <w:rsid w:val="00537D42"/>
    <w:rsid w:val="005409B7"/>
    <w:rsid w:val="00540B72"/>
    <w:rsid w:val="00541714"/>
    <w:rsid w:val="00541BC7"/>
    <w:rsid w:val="00541D34"/>
    <w:rsid w:val="005435F1"/>
    <w:rsid w:val="0054761E"/>
    <w:rsid w:val="00547D02"/>
    <w:rsid w:val="00550D58"/>
    <w:rsid w:val="0055257C"/>
    <w:rsid w:val="005526F4"/>
    <w:rsid w:val="00552D39"/>
    <w:rsid w:val="00562C2F"/>
    <w:rsid w:val="00563F4F"/>
    <w:rsid w:val="00566AE9"/>
    <w:rsid w:val="00570059"/>
    <w:rsid w:val="00575A52"/>
    <w:rsid w:val="005776D9"/>
    <w:rsid w:val="005824C1"/>
    <w:rsid w:val="00582811"/>
    <w:rsid w:val="00584497"/>
    <w:rsid w:val="00587B40"/>
    <w:rsid w:val="0059118C"/>
    <w:rsid w:val="00592F67"/>
    <w:rsid w:val="005936D1"/>
    <w:rsid w:val="00595E97"/>
    <w:rsid w:val="00596910"/>
    <w:rsid w:val="005A0844"/>
    <w:rsid w:val="005A3B98"/>
    <w:rsid w:val="005A537A"/>
    <w:rsid w:val="005A5898"/>
    <w:rsid w:val="005B09B9"/>
    <w:rsid w:val="005B600A"/>
    <w:rsid w:val="005B6F43"/>
    <w:rsid w:val="005B7C8A"/>
    <w:rsid w:val="005C28B3"/>
    <w:rsid w:val="005C33F3"/>
    <w:rsid w:val="005C442F"/>
    <w:rsid w:val="005C5F99"/>
    <w:rsid w:val="005D0D3E"/>
    <w:rsid w:val="005D1618"/>
    <w:rsid w:val="005D372E"/>
    <w:rsid w:val="005D4FB3"/>
    <w:rsid w:val="005D60FC"/>
    <w:rsid w:val="005D64FB"/>
    <w:rsid w:val="005D6F38"/>
    <w:rsid w:val="005E100D"/>
    <w:rsid w:val="005E477D"/>
    <w:rsid w:val="005E5511"/>
    <w:rsid w:val="005E5E2C"/>
    <w:rsid w:val="005E7709"/>
    <w:rsid w:val="005E78B7"/>
    <w:rsid w:val="005E790C"/>
    <w:rsid w:val="005F0200"/>
    <w:rsid w:val="005F2754"/>
    <w:rsid w:val="005F2AFD"/>
    <w:rsid w:val="005F446B"/>
    <w:rsid w:val="005F4AB9"/>
    <w:rsid w:val="005F5CBA"/>
    <w:rsid w:val="005F6CDE"/>
    <w:rsid w:val="005F7452"/>
    <w:rsid w:val="00601D20"/>
    <w:rsid w:val="00603CA4"/>
    <w:rsid w:val="006064A5"/>
    <w:rsid w:val="00606A0B"/>
    <w:rsid w:val="006071B6"/>
    <w:rsid w:val="006073BC"/>
    <w:rsid w:val="00610FBA"/>
    <w:rsid w:val="006110F4"/>
    <w:rsid w:val="0061795B"/>
    <w:rsid w:val="00617C38"/>
    <w:rsid w:val="006202F7"/>
    <w:rsid w:val="006206A1"/>
    <w:rsid w:val="00622ABD"/>
    <w:rsid w:val="00625452"/>
    <w:rsid w:val="0062585C"/>
    <w:rsid w:val="00630FB0"/>
    <w:rsid w:val="006314F4"/>
    <w:rsid w:val="0063183E"/>
    <w:rsid w:val="00633169"/>
    <w:rsid w:val="0063433F"/>
    <w:rsid w:val="0063489E"/>
    <w:rsid w:val="00634A3D"/>
    <w:rsid w:val="00640B5C"/>
    <w:rsid w:val="00642657"/>
    <w:rsid w:val="00642DCD"/>
    <w:rsid w:val="006440C0"/>
    <w:rsid w:val="00647EAF"/>
    <w:rsid w:val="0065122B"/>
    <w:rsid w:val="00654873"/>
    <w:rsid w:val="00660623"/>
    <w:rsid w:val="00661986"/>
    <w:rsid w:val="006669CE"/>
    <w:rsid w:val="006672AA"/>
    <w:rsid w:val="00672A97"/>
    <w:rsid w:val="0067588F"/>
    <w:rsid w:val="00676CFF"/>
    <w:rsid w:val="00680E91"/>
    <w:rsid w:val="0068260E"/>
    <w:rsid w:val="0068325F"/>
    <w:rsid w:val="006918BF"/>
    <w:rsid w:val="00694416"/>
    <w:rsid w:val="00694568"/>
    <w:rsid w:val="0069457C"/>
    <w:rsid w:val="0069532B"/>
    <w:rsid w:val="006A64B9"/>
    <w:rsid w:val="006A7378"/>
    <w:rsid w:val="006A75F9"/>
    <w:rsid w:val="006B3313"/>
    <w:rsid w:val="006B3C74"/>
    <w:rsid w:val="006B4031"/>
    <w:rsid w:val="006B4D68"/>
    <w:rsid w:val="006B56B0"/>
    <w:rsid w:val="006C3317"/>
    <w:rsid w:val="006C6651"/>
    <w:rsid w:val="006C67AB"/>
    <w:rsid w:val="006C7CD5"/>
    <w:rsid w:val="006D0F37"/>
    <w:rsid w:val="006D1758"/>
    <w:rsid w:val="006D3B57"/>
    <w:rsid w:val="006D3BE0"/>
    <w:rsid w:val="006D3C5C"/>
    <w:rsid w:val="006D40AB"/>
    <w:rsid w:val="006E0D45"/>
    <w:rsid w:val="006E2F69"/>
    <w:rsid w:val="006E4FE2"/>
    <w:rsid w:val="006E5FA4"/>
    <w:rsid w:val="006F3428"/>
    <w:rsid w:val="00705102"/>
    <w:rsid w:val="00706DCD"/>
    <w:rsid w:val="007073D6"/>
    <w:rsid w:val="00712682"/>
    <w:rsid w:val="00716AAB"/>
    <w:rsid w:val="00716C11"/>
    <w:rsid w:val="00717072"/>
    <w:rsid w:val="00721091"/>
    <w:rsid w:val="00724B6C"/>
    <w:rsid w:val="00724DA0"/>
    <w:rsid w:val="00725163"/>
    <w:rsid w:val="00726256"/>
    <w:rsid w:val="0072743C"/>
    <w:rsid w:val="00727723"/>
    <w:rsid w:val="00733173"/>
    <w:rsid w:val="0073593C"/>
    <w:rsid w:val="007359D8"/>
    <w:rsid w:val="00735A26"/>
    <w:rsid w:val="00735ECB"/>
    <w:rsid w:val="00741A88"/>
    <w:rsid w:val="007425E2"/>
    <w:rsid w:val="00742EF6"/>
    <w:rsid w:val="00744E31"/>
    <w:rsid w:val="0074516C"/>
    <w:rsid w:val="00746962"/>
    <w:rsid w:val="0075278E"/>
    <w:rsid w:val="00753CEF"/>
    <w:rsid w:val="00757311"/>
    <w:rsid w:val="00760398"/>
    <w:rsid w:val="00761395"/>
    <w:rsid w:val="0076230A"/>
    <w:rsid w:val="00764746"/>
    <w:rsid w:val="007649E1"/>
    <w:rsid w:val="007659FB"/>
    <w:rsid w:val="007666EA"/>
    <w:rsid w:val="007717BE"/>
    <w:rsid w:val="00772025"/>
    <w:rsid w:val="00773105"/>
    <w:rsid w:val="00773C52"/>
    <w:rsid w:val="007750EC"/>
    <w:rsid w:val="00776940"/>
    <w:rsid w:val="00776C02"/>
    <w:rsid w:val="00780FCD"/>
    <w:rsid w:val="007816D6"/>
    <w:rsid w:val="00781CFD"/>
    <w:rsid w:val="00783D61"/>
    <w:rsid w:val="00790603"/>
    <w:rsid w:val="00791491"/>
    <w:rsid w:val="0079478E"/>
    <w:rsid w:val="00796A40"/>
    <w:rsid w:val="007A1FC6"/>
    <w:rsid w:val="007A4D59"/>
    <w:rsid w:val="007A5C19"/>
    <w:rsid w:val="007A7ED1"/>
    <w:rsid w:val="007B1D01"/>
    <w:rsid w:val="007B27A4"/>
    <w:rsid w:val="007B3C28"/>
    <w:rsid w:val="007B4873"/>
    <w:rsid w:val="007C069A"/>
    <w:rsid w:val="007C18AF"/>
    <w:rsid w:val="007C32CF"/>
    <w:rsid w:val="007D0795"/>
    <w:rsid w:val="007D0D05"/>
    <w:rsid w:val="007D106D"/>
    <w:rsid w:val="007D426A"/>
    <w:rsid w:val="007D456C"/>
    <w:rsid w:val="007E2D47"/>
    <w:rsid w:val="007E32F0"/>
    <w:rsid w:val="007E7176"/>
    <w:rsid w:val="007F12E6"/>
    <w:rsid w:val="007F2835"/>
    <w:rsid w:val="007F51DD"/>
    <w:rsid w:val="0080299B"/>
    <w:rsid w:val="00804D74"/>
    <w:rsid w:val="00810E02"/>
    <w:rsid w:val="008110E3"/>
    <w:rsid w:val="00812054"/>
    <w:rsid w:val="008165C1"/>
    <w:rsid w:val="00825220"/>
    <w:rsid w:val="00826B07"/>
    <w:rsid w:val="008272BB"/>
    <w:rsid w:val="00827C21"/>
    <w:rsid w:val="008308BF"/>
    <w:rsid w:val="00833874"/>
    <w:rsid w:val="008368B8"/>
    <w:rsid w:val="008404F1"/>
    <w:rsid w:val="008406DA"/>
    <w:rsid w:val="00840AE3"/>
    <w:rsid w:val="00841035"/>
    <w:rsid w:val="00841173"/>
    <w:rsid w:val="00843AFF"/>
    <w:rsid w:val="00845356"/>
    <w:rsid w:val="00845A74"/>
    <w:rsid w:val="0084754D"/>
    <w:rsid w:val="00850622"/>
    <w:rsid w:val="00851FAF"/>
    <w:rsid w:val="008556A1"/>
    <w:rsid w:val="00855A3B"/>
    <w:rsid w:val="0085606E"/>
    <w:rsid w:val="00861F08"/>
    <w:rsid w:val="008620E5"/>
    <w:rsid w:val="008643AD"/>
    <w:rsid w:val="008651B3"/>
    <w:rsid w:val="00866256"/>
    <w:rsid w:val="00866C17"/>
    <w:rsid w:val="0086786A"/>
    <w:rsid w:val="00870309"/>
    <w:rsid w:val="0087275C"/>
    <w:rsid w:val="00874C77"/>
    <w:rsid w:val="008755CC"/>
    <w:rsid w:val="00875CD9"/>
    <w:rsid w:val="0087642C"/>
    <w:rsid w:val="00876FF7"/>
    <w:rsid w:val="00877E9B"/>
    <w:rsid w:val="0088130F"/>
    <w:rsid w:val="00882534"/>
    <w:rsid w:val="00883470"/>
    <w:rsid w:val="008841A3"/>
    <w:rsid w:val="00885C05"/>
    <w:rsid w:val="008877C6"/>
    <w:rsid w:val="00894859"/>
    <w:rsid w:val="008A357E"/>
    <w:rsid w:val="008A546A"/>
    <w:rsid w:val="008A67B2"/>
    <w:rsid w:val="008A6CD0"/>
    <w:rsid w:val="008B19DE"/>
    <w:rsid w:val="008B3773"/>
    <w:rsid w:val="008B561F"/>
    <w:rsid w:val="008B666C"/>
    <w:rsid w:val="008C46BC"/>
    <w:rsid w:val="008C78B5"/>
    <w:rsid w:val="008D5484"/>
    <w:rsid w:val="008D57C9"/>
    <w:rsid w:val="008D5A69"/>
    <w:rsid w:val="008D5E30"/>
    <w:rsid w:val="008D6623"/>
    <w:rsid w:val="008E00D7"/>
    <w:rsid w:val="008E1DCE"/>
    <w:rsid w:val="008E4D0D"/>
    <w:rsid w:val="008E7085"/>
    <w:rsid w:val="008F054C"/>
    <w:rsid w:val="008F2150"/>
    <w:rsid w:val="00901CC6"/>
    <w:rsid w:val="00902B53"/>
    <w:rsid w:val="00905326"/>
    <w:rsid w:val="00910580"/>
    <w:rsid w:val="0091072B"/>
    <w:rsid w:val="00923769"/>
    <w:rsid w:val="009244EC"/>
    <w:rsid w:val="00931234"/>
    <w:rsid w:val="009313EB"/>
    <w:rsid w:val="00935826"/>
    <w:rsid w:val="00935E8D"/>
    <w:rsid w:val="0093700E"/>
    <w:rsid w:val="00941153"/>
    <w:rsid w:val="00942FAB"/>
    <w:rsid w:val="0094777A"/>
    <w:rsid w:val="0095012D"/>
    <w:rsid w:val="00951ED2"/>
    <w:rsid w:val="009520DC"/>
    <w:rsid w:val="00952F8D"/>
    <w:rsid w:val="00953EC7"/>
    <w:rsid w:val="009569C3"/>
    <w:rsid w:val="009604AC"/>
    <w:rsid w:val="00966DD9"/>
    <w:rsid w:val="009700A2"/>
    <w:rsid w:val="00971524"/>
    <w:rsid w:val="00971B0B"/>
    <w:rsid w:val="0097343F"/>
    <w:rsid w:val="00975FCE"/>
    <w:rsid w:val="00977133"/>
    <w:rsid w:val="0098226F"/>
    <w:rsid w:val="009840CB"/>
    <w:rsid w:val="00985B16"/>
    <w:rsid w:val="00991685"/>
    <w:rsid w:val="00992BEC"/>
    <w:rsid w:val="00992FD7"/>
    <w:rsid w:val="00993F08"/>
    <w:rsid w:val="00994427"/>
    <w:rsid w:val="00997E82"/>
    <w:rsid w:val="009A0F34"/>
    <w:rsid w:val="009A2DFD"/>
    <w:rsid w:val="009A3508"/>
    <w:rsid w:val="009A4DF8"/>
    <w:rsid w:val="009A6101"/>
    <w:rsid w:val="009B012F"/>
    <w:rsid w:val="009B1276"/>
    <w:rsid w:val="009B139A"/>
    <w:rsid w:val="009B1F1A"/>
    <w:rsid w:val="009B1F8E"/>
    <w:rsid w:val="009B7C01"/>
    <w:rsid w:val="009C04BA"/>
    <w:rsid w:val="009C3358"/>
    <w:rsid w:val="009C3B85"/>
    <w:rsid w:val="009C7086"/>
    <w:rsid w:val="009D0E1D"/>
    <w:rsid w:val="009D1541"/>
    <w:rsid w:val="009D1D32"/>
    <w:rsid w:val="009D280D"/>
    <w:rsid w:val="009D65AE"/>
    <w:rsid w:val="009D7267"/>
    <w:rsid w:val="009D7657"/>
    <w:rsid w:val="009D76FC"/>
    <w:rsid w:val="009D7F1A"/>
    <w:rsid w:val="009E06A1"/>
    <w:rsid w:val="009E1F0D"/>
    <w:rsid w:val="009E3BB7"/>
    <w:rsid w:val="009E58D9"/>
    <w:rsid w:val="009E672F"/>
    <w:rsid w:val="009F18FA"/>
    <w:rsid w:val="009F3B6A"/>
    <w:rsid w:val="009F4A1A"/>
    <w:rsid w:val="009F60DE"/>
    <w:rsid w:val="00A00484"/>
    <w:rsid w:val="00A00F30"/>
    <w:rsid w:val="00A010F9"/>
    <w:rsid w:val="00A0236F"/>
    <w:rsid w:val="00A054F1"/>
    <w:rsid w:val="00A06859"/>
    <w:rsid w:val="00A10085"/>
    <w:rsid w:val="00A11704"/>
    <w:rsid w:val="00A1326A"/>
    <w:rsid w:val="00A160FB"/>
    <w:rsid w:val="00A17E1E"/>
    <w:rsid w:val="00A20F49"/>
    <w:rsid w:val="00A2250E"/>
    <w:rsid w:val="00A2282D"/>
    <w:rsid w:val="00A242B2"/>
    <w:rsid w:val="00A25DD1"/>
    <w:rsid w:val="00A27631"/>
    <w:rsid w:val="00A31FE7"/>
    <w:rsid w:val="00A320C3"/>
    <w:rsid w:val="00A368C1"/>
    <w:rsid w:val="00A37C29"/>
    <w:rsid w:val="00A411F4"/>
    <w:rsid w:val="00A4521C"/>
    <w:rsid w:val="00A47ED5"/>
    <w:rsid w:val="00A50519"/>
    <w:rsid w:val="00A53DFC"/>
    <w:rsid w:val="00A55939"/>
    <w:rsid w:val="00A572CD"/>
    <w:rsid w:val="00A62D60"/>
    <w:rsid w:val="00A712C6"/>
    <w:rsid w:val="00A738B8"/>
    <w:rsid w:val="00A7401A"/>
    <w:rsid w:val="00A741B5"/>
    <w:rsid w:val="00A7493B"/>
    <w:rsid w:val="00A776F1"/>
    <w:rsid w:val="00A77AF7"/>
    <w:rsid w:val="00A8098D"/>
    <w:rsid w:val="00A858E2"/>
    <w:rsid w:val="00A90B9B"/>
    <w:rsid w:val="00A94B7A"/>
    <w:rsid w:val="00A968BF"/>
    <w:rsid w:val="00AA1112"/>
    <w:rsid w:val="00AA2E1F"/>
    <w:rsid w:val="00AA49E7"/>
    <w:rsid w:val="00AA6248"/>
    <w:rsid w:val="00AA6F87"/>
    <w:rsid w:val="00AA7D18"/>
    <w:rsid w:val="00AB07D4"/>
    <w:rsid w:val="00AB47DF"/>
    <w:rsid w:val="00AB4953"/>
    <w:rsid w:val="00AB529A"/>
    <w:rsid w:val="00AB6917"/>
    <w:rsid w:val="00AC00D4"/>
    <w:rsid w:val="00AC4E2F"/>
    <w:rsid w:val="00AD0D99"/>
    <w:rsid w:val="00AD125D"/>
    <w:rsid w:val="00AD155F"/>
    <w:rsid w:val="00AD3DCF"/>
    <w:rsid w:val="00AD4579"/>
    <w:rsid w:val="00AD5771"/>
    <w:rsid w:val="00AE2A07"/>
    <w:rsid w:val="00AE2C89"/>
    <w:rsid w:val="00AE2E51"/>
    <w:rsid w:val="00AE4AD4"/>
    <w:rsid w:val="00AE4E59"/>
    <w:rsid w:val="00AE7324"/>
    <w:rsid w:val="00AE7CC1"/>
    <w:rsid w:val="00AF2D9A"/>
    <w:rsid w:val="00AF4852"/>
    <w:rsid w:val="00B00409"/>
    <w:rsid w:val="00B01D93"/>
    <w:rsid w:val="00B05426"/>
    <w:rsid w:val="00B05F5A"/>
    <w:rsid w:val="00B06890"/>
    <w:rsid w:val="00B12AE7"/>
    <w:rsid w:val="00B12B75"/>
    <w:rsid w:val="00B145D2"/>
    <w:rsid w:val="00B205F0"/>
    <w:rsid w:val="00B2107E"/>
    <w:rsid w:val="00B2187A"/>
    <w:rsid w:val="00B21E2E"/>
    <w:rsid w:val="00B21E3E"/>
    <w:rsid w:val="00B24D27"/>
    <w:rsid w:val="00B31870"/>
    <w:rsid w:val="00B32BF4"/>
    <w:rsid w:val="00B365FF"/>
    <w:rsid w:val="00B36C2D"/>
    <w:rsid w:val="00B4193D"/>
    <w:rsid w:val="00B4290A"/>
    <w:rsid w:val="00B4533F"/>
    <w:rsid w:val="00B510C8"/>
    <w:rsid w:val="00B51701"/>
    <w:rsid w:val="00B52197"/>
    <w:rsid w:val="00B526C5"/>
    <w:rsid w:val="00B52858"/>
    <w:rsid w:val="00B55FBA"/>
    <w:rsid w:val="00B63F16"/>
    <w:rsid w:val="00B65FD5"/>
    <w:rsid w:val="00B70BEA"/>
    <w:rsid w:val="00B72E87"/>
    <w:rsid w:val="00B74E0D"/>
    <w:rsid w:val="00B81415"/>
    <w:rsid w:val="00B816F7"/>
    <w:rsid w:val="00B819A9"/>
    <w:rsid w:val="00B82412"/>
    <w:rsid w:val="00B82BC7"/>
    <w:rsid w:val="00B8365A"/>
    <w:rsid w:val="00B84EE3"/>
    <w:rsid w:val="00B85DD8"/>
    <w:rsid w:val="00B87EC5"/>
    <w:rsid w:val="00B90740"/>
    <w:rsid w:val="00B92013"/>
    <w:rsid w:val="00B92F57"/>
    <w:rsid w:val="00B9355C"/>
    <w:rsid w:val="00B95FFB"/>
    <w:rsid w:val="00B97294"/>
    <w:rsid w:val="00B97DEB"/>
    <w:rsid w:val="00BA2C5B"/>
    <w:rsid w:val="00BA318E"/>
    <w:rsid w:val="00BA4901"/>
    <w:rsid w:val="00BA4C02"/>
    <w:rsid w:val="00BA55AE"/>
    <w:rsid w:val="00BB1943"/>
    <w:rsid w:val="00BB1B74"/>
    <w:rsid w:val="00BB2FBE"/>
    <w:rsid w:val="00BB5936"/>
    <w:rsid w:val="00BC0803"/>
    <w:rsid w:val="00BC1F1C"/>
    <w:rsid w:val="00BC2260"/>
    <w:rsid w:val="00BC37DD"/>
    <w:rsid w:val="00BC5438"/>
    <w:rsid w:val="00BC6BF8"/>
    <w:rsid w:val="00BC72F8"/>
    <w:rsid w:val="00BD04AC"/>
    <w:rsid w:val="00BD1523"/>
    <w:rsid w:val="00BD1FCE"/>
    <w:rsid w:val="00BD2B94"/>
    <w:rsid w:val="00BD3B13"/>
    <w:rsid w:val="00BD563C"/>
    <w:rsid w:val="00BD5E6D"/>
    <w:rsid w:val="00BD7084"/>
    <w:rsid w:val="00BD7972"/>
    <w:rsid w:val="00BE0160"/>
    <w:rsid w:val="00BE3533"/>
    <w:rsid w:val="00BE645C"/>
    <w:rsid w:val="00BE6511"/>
    <w:rsid w:val="00BE744C"/>
    <w:rsid w:val="00BF51A2"/>
    <w:rsid w:val="00C00F54"/>
    <w:rsid w:val="00C127B4"/>
    <w:rsid w:val="00C12B0D"/>
    <w:rsid w:val="00C15590"/>
    <w:rsid w:val="00C24030"/>
    <w:rsid w:val="00C25245"/>
    <w:rsid w:val="00C25B49"/>
    <w:rsid w:val="00C348C3"/>
    <w:rsid w:val="00C356F2"/>
    <w:rsid w:val="00C4041B"/>
    <w:rsid w:val="00C418C7"/>
    <w:rsid w:val="00C4234A"/>
    <w:rsid w:val="00C45AF7"/>
    <w:rsid w:val="00C5487B"/>
    <w:rsid w:val="00C56DFC"/>
    <w:rsid w:val="00C626F1"/>
    <w:rsid w:val="00C63018"/>
    <w:rsid w:val="00C63539"/>
    <w:rsid w:val="00C66B2E"/>
    <w:rsid w:val="00C704CE"/>
    <w:rsid w:val="00C71CA7"/>
    <w:rsid w:val="00C72553"/>
    <w:rsid w:val="00C74419"/>
    <w:rsid w:val="00C755E4"/>
    <w:rsid w:val="00C75D97"/>
    <w:rsid w:val="00C767CC"/>
    <w:rsid w:val="00C772C1"/>
    <w:rsid w:val="00C86004"/>
    <w:rsid w:val="00C93A43"/>
    <w:rsid w:val="00C94D21"/>
    <w:rsid w:val="00C95611"/>
    <w:rsid w:val="00C95BA7"/>
    <w:rsid w:val="00C96BBC"/>
    <w:rsid w:val="00C9779A"/>
    <w:rsid w:val="00CA2F1B"/>
    <w:rsid w:val="00CA4E2F"/>
    <w:rsid w:val="00CA7B8B"/>
    <w:rsid w:val="00CB0748"/>
    <w:rsid w:val="00CB0E9A"/>
    <w:rsid w:val="00CB4121"/>
    <w:rsid w:val="00CB6A61"/>
    <w:rsid w:val="00CB7759"/>
    <w:rsid w:val="00CC131F"/>
    <w:rsid w:val="00CC38AE"/>
    <w:rsid w:val="00CC3923"/>
    <w:rsid w:val="00CC520C"/>
    <w:rsid w:val="00CC5856"/>
    <w:rsid w:val="00CC6007"/>
    <w:rsid w:val="00CC61E7"/>
    <w:rsid w:val="00CD0FBC"/>
    <w:rsid w:val="00CD2A56"/>
    <w:rsid w:val="00CD2BAE"/>
    <w:rsid w:val="00CD4A2B"/>
    <w:rsid w:val="00CD4E03"/>
    <w:rsid w:val="00CD5831"/>
    <w:rsid w:val="00CD6985"/>
    <w:rsid w:val="00CE09E5"/>
    <w:rsid w:val="00CE1A17"/>
    <w:rsid w:val="00CE75E5"/>
    <w:rsid w:val="00CF0BB5"/>
    <w:rsid w:val="00CF1CD5"/>
    <w:rsid w:val="00CF41A9"/>
    <w:rsid w:val="00CF7DA8"/>
    <w:rsid w:val="00D00BF2"/>
    <w:rsid w:val="00D0197E"/>
    <w:rsid w:val="00D01FCD"/>
    <w:rsid w:val="00D01FD7"/>
    <w:rsid w:val="00D0719C"/>
    <w:rsid w:val="00D10CF5"/>
    <w:rsid w:val="00D14B92"/>
    <w:rsid w:val="00D1530F"/>
    <w:rsid w:val="00D1590A"/>
    <w:rsid w:val="00D17688"/>
    <w:rsid w:val="00D23B63"/>
    <w:rsid w:val="00D254AE"/>
    <w:rsid w:val="00D27949"/>
    <w:rsid w:val="00D30284"/>
    <w:rsid w:val="00D365CE"/>
    <w:rsid w:val="00D3786F"/>
    <w:rsid w:val="00D40391"/>
    <w:rsid w:val="00D440EF"/>
    <w:rsid w:val="00D45340"/>
    <w:rsid w:val="00D45EA5"/>
    <w:rsid w:val="00D5356F"/>
    <w:rsid w:val="00D54426"/>
    <w:rsid w:val="00D572AE"/>
    <w:rsid w:val="00D66277"/>
    <w:rsid w:val="00D66EBF"/>
    <w:rsid w:val="00D67821"/>
    <w:rsid w:val="00D67DBA"/>
    <w:rsid w:val="00D700B8"/>
    <w:rsid w:val="00D76486"/>
    <w:rsid w:val="00D816EA"/>
    <w:rsid w:val="00D8469E"/>
    <w:rsid w:val="00D91433"/>
    <w:rsid w:val="00D924EB"/>
    <w:rsid w:val="00D94882"/>
    <w:rsid w:val="00DA1635"/>
    <w:rsid w:val="00DA2058"/>
    <w:rsid w:val="00DA28D2"/>
    <w:rsid w:val="00DA6236"/>
    <w:rsid w:val="00DA7EF3"/>
    <w:rsid w:val="00DB02EB"/>
    <w:rsid w:val="00DB071A"/>
    <w:rsid w:val="00DB1114"/>
    <w:rsid w:val="00DB2290"/>
    <w:rsid w:val="00DB661C"/>
    <w:rsid w:val="00DC1929"/>
    <w:rsid w:val="00DC2312"/>
    <w:rsid w:val="00DD660E"/>
    <w:rsid w:val="00DE028E"/>
    <w:rsid w:val="00DE26B7"/>
    <w:rsid w:val="00DE78E6"/>
    <w:rsid w:val="00DE7F58"/>
    <w:rsid w:val="00DF20CB"/>
    <w:rsid w:val="00DF60C0"/>
    <w:rsid w:val="00DF6F15"/>
    <w:rsid w:val="00DF72B3"/>
    <w:rsid w:val="00E00904"/>
    <w:rsid w:val="00E019F0"/>
    <w:rsid w:val="00E02218"/>
    <w:rsid w:val="00E03A37"/>
    <w:rsid w:val="00E03AC9"/>
    <w:rsid w:val="00E03ECC"/>
    <w:rsid w:val="00E05161"/>
    <w:rsid w:val="00E06947"/>
    <w:rsid w:val="00E06B0E"/>
    <w:rsid w:val="00E074D6"/>
    <w:rsid w:val="00E10471"/>
    <w:rsid w:val="00E1250D"/>
    <w:rsid w:val="00E14ED0"/>
    <w:rsid w:val="00E16993"/>
    <w:rsid w:val="00E1777C"/>
    <w:rsid w:val="00E17CB7"/>
    <w:rsid w:val="00E20DBD"/>
    <w:rsid w:val="00E21DED"/>
    <w:rsid w:val="00E25320"/>
    <w:rsid w:val="00E31E90"/>
    <w:rsid w:val="00E337A9"/>
    <w:rsid w:val="00E34F8E"/>
    <w:rsid w:val="00E36B8D"/>
    <w:rsid w:val="00E42E67"/>
    <w:rsid w:val="00E43B2F"/>
    <w:rsid w:val="00E521AE"/>
    <w:rsid w:val="00E525A3"/>
    <w:rsid w:val="00E53263"/>
    <w:rsid w:val="00E535D3"/>
    <w:rsid w:val="00E5399E"/>
    <w:rsid w:val="00E54B65"/>
    <w:rsid w:val="00E55655"/>
    <w:rsid w:val="00E57341"/>
    <w:rsid w:val="00E62BE3"/>
    <w:rsid w:val="00E6381D"/>
    <w:rsid w:val="00E64F35"/>
    <w:rsid w:val="00E65584"/>
    <w:rsid w:val="00E668C4"/>
    <w:rsid w:val="00E7033B"/>
    <w:rsid w:val="00E70F85"/>
    <w:rsid w:val="00E729DA"/>
    <w:rsid w:val="00E74168"/>
    <w:rsid w:val="00E7700A"/>
    <w:rsid w:val="00E80FA9"/>
    <w:rsid w:val="00E82CD5"/>
    <w:rsid w:val="00E82F7C"/>
    <w:rsid w:val="00E83363"/>
    <w:rsid w:val="00E83B58"/>
    <w:rsid w:val="00E85BD3"/>
    <w:rsid w:val="00E87A2E"/>
    <w:rsid w:val="00E917DD"/>
    <w:rsid w:val="00E92381"/>
    <w:rsid w:val="00E9276A"/>
    <w:rsid w:val="00E93F93"/>
    <w:rsid w:val="00E96131"/>
    <w:rsid w:val="00EA021E"/>
    <w:rsid w:val="00EA162E"/>
    <w:rsid w:val="00EA23D9"/>
    <w:rsid w:val="00EA282E"/>
    <w:rsid w:val="00EA2917"/>
    <w:rsid w:val="00EA538D"/>
    <w:rsid w:val="00EA6932"/>
    <w:rsid w:val="00EB2B4E"/>
    <w:rsid w:val="00EB50A4"/>
    <w:rsid w:val="00EB776A"/>
    <w:rsid w:val="00EB7B12"/>
    <w:rsid w:val="00EC0665"/>
    <w:rsid w:val="00EC1F60"/>
    <w:rsid w:val="00EC23E7"/>
    <w:rsid w:val="00EC29A7"/>
    <w:rsid w:val="00EC7B75"/>
    <w:rsid w:val="00EE004D"/>
    <w:rsid w:val="00EE1052"/>
    <w:rsid w:val="00EE45C6"/>
    <w:rsid w:val="00EE4AE4"/>
    <w:rsid w:val="00EE67EB"/>
    <w:rsid w:val="00EF0A70"/>
    <w:rsid w:val="00EF3798"/>
    <w:rsid w:val="00F00901"/>
    <w:rsid w:val="00F013AC"/>
    <w:rsid w:val="00F0206B"/>
    <w:rsid w:val="00F026FB"/>
    <w:rsid w:val="00F02D54"/>
    <w:rsid w:val="00F056E5"/>
    <w:rsid w:val="00F05962"/>
    <w:rsid w:val="00F07670"/>
    <w:rsid w:val="00F0779F"/>
    <w:rsid w:val="00F10126"/>
    <w:rsid w:val="00F11481"/>
    <w:rsid w:val="00F1247B"/>
    <w:rsid w:val="00F14A06"/>
    <w:rsid w:val="00F15226"/>
    <w:rsid w:val="00F177F4"/>
    <w:rsid w:val="00F203E8"/>
    <w:rsid w:val="00F22EE0"/>
    <w:rsid w:val="00F249E1"/>
    <w:rsid w:val="00F25813"/>
    <w:rsid w:val="00F26610"/>
    <w:rsid w:val="00F26B86"/>
    <w:rsid w:val="00F26CCC"/>
    <w:rsid w:val="00F27223"/>
    <w:rsid w:val="00F367CC"/>
    <w:rsid w:val="00F40FC8"/>
    <w:rsid w:val="00F41CCF"/>
    <w:rsid w:val="00F42F8F"/>
    <w:rsid w:val="00F435EA"/>
    <w:rsid w:val="00F438C3"/>
    <w:rsid w:val="00F43F18"/>
    <w:rsid w:val="00F47332"/>
    <w:rsid w:val="00F51BED"/>
    <w:rsid w:val="00F52BBE"/>
    <w:rsid w:val="00F53839"/>
    <w:rsid w:val="00F54593"/>
    <w:rsid w:val="00F54688"/>
    <w:rsid w:val="00F548E1"/>
    <w:rsid w:val="00F54BA7"/>
    <w:rsid w:val="00F63811"/>
    <w:rsid w:val="00F64411"/>
    <w:rsid w:val="00F649B7"/>
    <w:rsid w:val="00F74EF9"/>
    <w:rsid w:val="00F75683"/>
    <w:rsid w:val="00F75781"/>
    <w:rsid w:val="00F75F39"/>
    <w:rsid w:val="00F822B6"/>
    <w:rsid w:val="00F85BC0"/>
    <w:rsid w:val="00F85C0B"/>
    <w:rsid w:val="00F86333"/>
    <w:rsid w:val="00F90503"/>
    <w:rsid w:val="00F910B2"/>
    <w:rsid w:val="00F9204E"/>
    <w:rsid w:val="00F9277A"/>
    <w:rsid w:val="00F932B7"/>
    <w:rsid w:val="00FA1056"/>
    <w:rsid w:val="00FA2B3F"/>
    <w:rsid w:val="00FA395C"/>
    <w:rsid w:val="00FA5392"/>
    <w:rsid w:val="00FA603D"/>
    <w:rsid w:val="00FB1811"/>
    <w:rsid w:val="00FB2900"/>
    <w:rsid w:val="00FB42EC"/>
    <w:rsid w:val="00FB4B67"/>
    <w:rsid w:val="00FB5308"/>
    <w:rsid w:val="00FB5B86"/>
    <w:rsid w:val="00FB7B57"/>
    <w:rsid w:val="00FC12D9"/>
    <w:rsid w:val="00FC1840"/>
    <w:rsid w:val="00FC1FD8"/>
    <w:rsid w:val="00FC232F"/>
    <w:rsid w:val="00FC2B5B"/>
    <w:rsid w:val="00FC4C90"/>
    <w:rsid w:val="00FC668D"/>
    <w:rsid w:val="00FC6D14"/>
    <w:rsid w:val="00FC6E0B"/>
    <w:rsid w:val="00FD11EF"/>
    <w:rsid w:val="00FD2146"/>
    <w:rsid w:val="00FD3F7F"/>
    <w:rsid w:val="00FD4EAE"/>
    <w:rsid w:val="00FE185D"/>
    <w:rsid w:val="00FE4F46"/>
    <w:rsid w:val="00FE7247"/>
    <w:rsid w:val="00FF1999"/>
    <w:rsid w:val="00FF4805"/>
    <w:rsid w:val="00FF49DB"/>
    <w:rsid w:val="00FF4B0C"/>
    <w:rsid w:val="00FF5AE0"/>
    <w:rsid w:val="00FF7961"/>
    <w:rsid w:val="025649A5"/>
    <w:rsid w:val="02EE4545"/>
    <w:rsid w:val="04B213C1"/>
    <w:rsid w:val="07B830C9"/>
    <w:rsid w:val="08591B53"/>
    <w:rsid w:val="0AAE4873"/>
    <w:rsid w:val="0C711B61"/>
    <w:rsid w:val="0E5E1357"/>
    <w:rsid w:val="0F522C33"/>
    <w:rsid w:val="10625970"/>
    <w:rsid w:val="13BF7656"/>
    <w:rsid w:val="144C6484"/>
    <w:rsid w:val="147C701C"/>
    <w:rsid w:val="164E481D"/>
    <w:rsid w:val="165F67BF"/>
    <w:rsid w:val="16A3679F"/>
    <w:rsid w:val="16F64807"/>
    <w:rsid w:val="170535D2"/>
    <w:rsid w:val="17863082"/>
    <w:rsid w:val="1A564145"/>
    <w:rsid w:val="1AF5570C"/>
    <w:rsid w:val="1B3F6F31"/>
    <w:rsid w:val="1FE73867"/>
    <w:rsid w:val="20152DEF"/>
    <w:rsid w:val="22AF4D3A"/>
    <w:rsid w:val="231B0274"/>
    <w:rsid w:val="239857CE"/>
    <w:rsid w:val="240942E1"/>
    <w:rsid w:val="24CF6863"/>
    <w:rsid w:val="257B0F03"/>
    <w:rsid w:val="271F4AC7"/>
    <w:rsid w:val="27D56FF1"/>
    <w:rsid w:val="298A7967"/>
    <w:rsid w:val="2A4F604D"/>
    <w:rsid w:val="2B20309F"/>
    <w:rsid w:val="2B7803BF"/>
    <w:rsid w:val="2D6D35AA"/>
    <w:rsid w:val="2DA27E29"/>
    <w:rsid w:val="2F515458"/>
    <w:rsid w:val="2F972B34"/>
    <w:rsid w:val="2FD75490"/>
    <w:rsid w:val="30E367CA"/>
    <w:rsid w:val="30EB2E74"/>
    <w:rsid w:val="3141132E"/>
    <w:rsid w:val="33151E94"/>
    <w:rsid w:val="3385074A"/>
    <w:rsid w:val="354A7834"/>
    <w:rsid w:val="35A10CFB"/>
    <w:rsid w:val="37DA5F5D"/>
    <w:rsid w:val="396A50BF"/>
    <w:rsid w:val="3C644D24"/>
    <w:rsid w:val="3CA40574"/>
    <w:rsid w:val="3D60686E"/>
    <w:rsid w:val="3FF557B9"/>
    <w:rsid w:val="403B217E"/>
    <w:rsid w:val="41CA7043"/>
    <w:rsid w:val="43F6411F"/>
    <w:rsid w:val="442230AA"/>
    <w:rsid w:val="456E5482"/>
    <w:rsid w:val="48097E12"/>
    <w:rsid w:val="48A64365"/>
    <w:rsid w:val="48BF3E0F"/>
    <w:rsid w:val="4B8947A0"/>
    <w:rsid w:val="4BEA2746"/>
    <w:rsid w:val="4CBB4C3F"/>
    <w:rsid w:val="4D1B0B1C"/>
    <w:rsid w:val="4D671BE9"/>
    <w:rsid w:val="4FDE320E"/>
    <w:rsid w:val="4FE614EB"/>
    <w:rsid w:val="503E696C"/>
    <w:rsid w:val="504B134F"/>
    <w:rsid w:val="50BB2978"/>
    <w:rsid w:val="50C23D07"/>
    <w:rsid w:val="53CB68D7"/>
    <w:rsid w:val="5A3B68D8"/>
    <w:rsid w:val="5A6B2D19"/>
    <w:rsid w:val="5AC12619"/>
    <w:rsid w:val="5AEB4C4D"/>
    <w:rsid w:val="5C437082"/>
    <w:rsid w:val="5E5534AE"/>
    <w:rsid w:val="5EFC447F"/>
    <w:rsid w:val="6110461A"/>
    <w:rsid w:val="61EB473F"/>
    <w:rsid w:val="63B21468"/>
    <w:rsid w:val="657F1DD3"/>
    <w:rsid w:val="657F408A"/>
    <w:rsid w:val="66434E23"/>
    <w:rsid w:val="67D16B97"/>
    <w:rsid w:val="67D72F49"/>
    <w:rsid w:val="68DB61C0"/>
    <w:rsid w:val="6A312515"/>
    <w:rsid w:val="6B733784"/>
    <w:rsid w:val="6C186A79"/>
    <w:rsid w:val="6D087337"/>
    <w:rsid w:val="6D334FAA"/>
    <w:rsid w:val="726C57F1"/>
    <w:rsid w:val="73D523AE"/>
    <w:rsid w:val="74582108"/>
    <w:rsid w:val="754212BF"/>
    <w:rsid w:val="78A53442"/>
    <w:rsid w:val="78CB26D2"/>
    <w:rsid w:val="79CA4A4A"/>
    <w:rsid w:val="7A832EEB"/>
    <w:rsid w:val="7B3B2BFD"/>
    <w:rsid w:val="7C975798"/>
    <w:rsid w:val="7CA80F61"/>
    <w:rsid w:val="7D6A07B6"/>
    <w:rsid w:val="7EB26183"/>
    <w:rsid w:val="7FFE54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link w:val="18"/>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4－正文LX"/>
    <w:next w:val="1"/>
    <w:qFormat/>
    <w:uiPriority w:val="0"/>
    <w:pPr>
      <w:spacing w:line="300" w:lineRule="auto"/>
      <w:ind w:firstLine="200" w:firstLineChars="200"/>
    </w:pPr>
    <w:rPr>
      <w:rFonts w:ascii="Times New Roman" w:hAnsi="Times New Roman" w:eastAsia="宋体" w:cs="Times New Roman"/>
      <w:kern w:val="2"/>
      <w:sz w:val="24"/>
      <w:szCs w:val="24"/>
      <w:lang w:val="sv-SE" w:eastAsia="zh-CN" w:bidi="ar-SA"/>
    </w:rPr>
  </w:style>
  <w:style w:type="paragraph" w:styleId="5">
    <w:name w:val="annotation text"/>
    <w:basedOn w:val="1"/>
    <w:link w:val="20"/>
    <w:unhideWhenUsed/>
    <w:qFormat/>
    <w:uiPriority w:val="99"/>
    <w:pPr>
      <w:jc w:val="left"/>
    </w:pPr>
  </w:style>
  <w:style w:type="paragraph" w:styleId="6">
    <w:name w:val="Body Text"/>
    <w:basedOn w:val="1"/>
    <w:qFormat/>
    <w:uiPriority w:val="1"/>
    <w:pPr>
      <w:spacing w:before="161"/>
      <w:ind w:left="229"/>
    </w:pPr>
    <w:rPr>
      <w:rFonts w:ascii="宋体" w:hAnsi="宋体" w:eastAsia="宋体" w:cs="宋体"/>
      <w:sz w:val="24"/>
      <w:szCs w:val="24"/>
      <w:lang w:val="zh-CN" w:bidi="zh-CN"/>
    </w:rPr>
  </w:style>
  <w:style w:type="paragraph" w:styleId="7">
    <w:name w:val="Balloon Text"/>
    <w:basedOn w:val="1"/>
    <w:link w:val="21"/>
    <w:unhideWhenUsed/>
    <w:qFormat/>
    <w:uiPriority w:val="99"/>
    <w:rPr>
      <w:sz w:val="18"/>
      <w:szCs w:val="18"/>
    </w:rPr>
  </w:style>
  <w:style w:type="paragraph" w:styleId="8">
    <w:name w:val="footer"/>
    <w:basedOn w:val="1"/>
    <w:link w:val="22"/>
    <w:unhideWhenUsed/>
    <w:qFormat/>
    <w:uiPriority w:val="99"/>
    <w:pPr>
      <w:tabs>
        <w:tab w:val="center" w:pos="4153"/>
        <w:tab w:val="right" w:pos="8306"/>
      </w:tabs>
      <w:snapToGrid w:val="0"/>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1">
    <w:name w:val="annotation subject"/>
    <w:basedOn w:val="5"/>
    <w:next w:val="5"/>
    <w:link w:val="24"/>
    <w:unhideWhenUsed/>
    <w:qFormat/>
    <w:uiPriority w:val="99"/>
    <w:rPr>
      <w:b/>
      <w:bCs/>
    </w:rPr>
  </w:style>
  <w:style w:type="table" w:styleId="13">
    <w:name w:val="Table Grid"/>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5">
    <w:name w:val="FollowedHyperlink"/>
    <w:basedOn w:val="14"/>
    <w:semiHidden/>
    <w:unhideWhenUsed/>
    <w:qFormat/>
    <w:uiPriority w:val="99"/>
    <w:rPr>
      <w:color w:val="800080"/>
      <w:u w:val="single"/>
    </w:rPr>
  </w:style>
  <w:style w:type="character" w:styleId="16">
    <w:name w:val="Hyperlink"/>
    <w:basedOn w:val="14"/>
    <w:unhideWhenUsed/>
    <w:qFormat/>
    <w:uiPriority w:val="99"/>
    <w:rPr>
      <w:color w:val="0000FF"/>
      <w:u w:val="single"/>
    </w:rPr>
  </w:style>
  <w:style w:type="character" w:styleId="17">
    <w:name w:val="annotation reference"/>
    <w:basedOn w:val="14"/>
    <w:unhideWhenUsed/>
    <w:qFormat/>
    <w:uiPriority w:val="99"/>
    <w:rPr>
      <w:sz w:val="21"/>
      <w:szCs w:val="21"/>
    </w:rPr>
  </w:style>
  <w:style w:type="character" w:customStyle="1" w:styleId="18">
    <w:name w:val="标题 1 字符"/>
    <w:basedOn w:val="14"/>
    <w:link w:val="3"/>
    <w:qFormat/>
    <w:uiPriority w:val="9"/>
    <w:rPr>
      <w:rFonts w:ascii="宋体" w:hAnsi="宋体" w:eastAsia="宋体" w:cs="宋体"/>
      <w:b/>
      <w:bCs/>
      <w:kern w:val="36"/>
      <w:sz w:val="48"/>
      <w:szCs w:val="48"/>
    </w:rPr>
  </w:style>
  <w:style w:type="character" w:customStyle="1" w:styleId="19">
    <w:name w:val="标题 3 字符"/>
    <w:basedOn w:val="14"/>
    <w:link w:val="4"/>
    <w:semiHidden/>
    <w:qFormat/>
    <w:uiPriority w:val="9"/>
    <w:rPr>
      <w:b/>
      <w:bCs/>
      <w:sz w:val="32"/>
      <w:szCs w:val="32"/>
    </w:rPr>
  </w:style>
  <w:style w:type="character" w:customStyle="1" w:styleId="20">
    <w:name w:val="批注文字 字符"/>
    <w:basedOn w:val="14"/>
    <w:link w:val="5"/>
    <w:semiHidden/>
    <w:qFormat/>
    <w:uiPriority w:val="99"/>
  </w:style>
  <w:style w:type="character" w:customStyle="1" w:styleId="21">
    <w:name w:val="批注框文本 字符"/>
    <w:basedOn w:val="14"/>
    <w:link w:val="7"/>
    <w:semiHidden/>
    <w:qFormat/>
    <w:uiPriority w:val="99"/>
    <w:rPr>
      <w:sz w:val="18"/>
      <w:szCs w:val="18"/>
    </w:rPr>
  </w:style>
  <w:style w:type="character" w:customStyle="1" w:styleId="22">
    <w:name w:val="页脚 字符"/>
    <w:basedOn w:val="14"/>
    <w:link w:val="8"/>
    <w:qFormat/>
    <w:uiPriority w:val="99"/>
    <w:rPr>
      <w:sz w:val="18"/>
      <w:szCs w:val="18"/>
    </w:rPr>
  </w:style>
  <w:style w:type="character" w:customStyle="1" w:styleId="23">
    <w:name w:val="页眉 字符"/>
    <w:basedOn w:val="14"/>
    <w:link w:val="9"/>
    <w:qFormat/>
    <w:uiPriority w:val="99"/>
    <w:rPr>
      <w:sz w:val="18"/>
      <w:szCs w:val="18"/>
    </w:rPr>
  </w:style>
  <w:style w:type="character" w:customStyle="1" w:styleId="24">
    <w:name w:val="批注主题 字符"/>
    <w:basedOn w:val="20"/>
    <w:link w:val="11"/>
    <w:semiHidden/>
    <w:qFormat/>
    <w:uiPriority w:val="99"/>
    <w:rPr>
      <w:b/>
      <w:bCs/>
    </w:rPr>
  </w:style>
  <w:style w:type="character" w:customStyle="1" w:styleId="25">
    <w:name w:val="fontstyle01"/>
    <w:basedOn w:val="14"/>
    <w:qFormat/>
    <w:uiPriority w:val="0"/>
    <w:rPr>
      <w:rFonts w:hint="default" w:ascii="Times New Roman" w:hAnsi="Times New Roman" w:cs="Times New Roman"/>
      <w:i/>
      <w:iCs/>
      <w:color w:val="000000"/>
      <w:sz w:val="22"/>
      <w:szCs w:val="22"/>
    </w:rPr>
  </w:style>
  <w:style w:type="paragraph" w:customStyle="1" w:styleId="26">
    <w:name w:val="修订1"/>
    <w:semiHidden/>
    <w:qFormat/>
    <w:uiPriority w:val="99"/>
    <w:rPr>
      <w:rFonts w:ascii="等线" w:hAnsi="等线" w:eastAsia="等线" w:cs="Times New Roman"/>
      <w:kern w:val="2"/>
      <w:sz w:val="21"/>
      <w:szCs w:val="22"/>
      <w:lang w:val="en-US" w:eastAsia="zh-CN" w:bidi="ar-SA"/>
    </w:rPr>
  </w:style>
  <w:style w:type="paragraph" w:styleId="27">
    <w:name w:val="List Paragraph"/>
    <w:basedOn w:val="1"/>
    <w:qFormat/>
    <w:uiPriority w:val="34"/>
    <w:pPr>
      <w:ind w:firstLine="420" w:firstLineChars="200"/>
    </w:pPr>
  </w:style>
  <w:style w:type="paragraph" w:customStyle="1" w:styleId="28">
    <w:name w:val="Default"/>
    <w:qFormat/>
    <w:uiPriority w:val="0"/>
    <w:pPr>
      <w:widowControl w:val="0"/>
      <w:autoSpaceDE w:val="0"/>
      <w:autoSpaceDN w:val="0"/>
      <w:adjustRightInd w:val="0"/>
    </w:pPr>
    <w:rPr>
      <w:rFonts w:ascii="宋体" w:hAnsi="宋体" w:eastAsia="等线" w:cs="宋体"/>
      <w:color w:val="000000"/>
      <w:sz w:val="24"/>
      <w:szCs w:val="24"/>
      <w:lang w:val="en-US" w:eastAsia="zh-CN" w:bidi="ar-SA"/>
    </w:rPr>
  </w:style>
  <w:style w:type="paragraph" w:customStyle="1" w:styleId="29">
    <w:name w:val="Table Paragraph"/>
    <w:basedOn w:val="1"/>
    <w:qFormat/>
    <w:uiPriority w:val="1"/>
    <w:rPr>
      <w:rFonts w:ascii="Times New Roman" w:hAnsi="Times New Roman" w:eastAsia="Times New Roman"/>
      <w:lang w:val="zh-CN" w:bidi="zh-CN"/>
    </w:rPr>
  </w:style>
  <w:style w:type="paragraph" w:customStyle="1" w:styleId="3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31">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character" w:customStyle="1" w:styleId="32">
    <w:name w:val="font11"/>
    <w:basedOn w:val="14"/>
    <w:qFormat/>
    <w:uiPriority w:val="0"/>
    <w:rPr>
      <w:rFonts w:hint="eastAsia" w:ascii="宋体" w:hAnsi="宋体" w:eastAsia="宋体" w:cs="宋体"/>
      <w:color w:val="000000"/>
      <w:sz w:val="22"/>
      <w:szCs w:val="22"/>
      <w:u w:val="none"/>
      <w:vertAlign w:val="superscript"/>
    </w:rPr>
  </w:style>
  <w:style w:type="character" w:customStyle="1" w:styleId="33">
    <w:name w:val="font21"/>
    <w:basedOn w:val="14"/>
    <w:qFormat/>
    <w:uiPriority w:val="0"/>
    <w:rPr>
      <w:rFonts w:hint="eastAsia" w:ascii="宋体" w:hAnsi="宋体" w:eastAsia="宋体" w:cs="宋体"/>
      <w:color w:val="000000"/>
      <w:sz w:val="22"/>
      <w:szCs w:val="22"/>
      <w:u w:val="none"/>
    </w:rPr>
  </w:style>
  <w:style w:type="character" w:customStyle="1" w:styleId="34">
    <w:name w:val="font01"/>
    <w:basedOn w:val="14"/>
    <w:qFormat/>
    <w:uiPriority w:val="0"/>
    <w:rPr>
      <w:rFonts w:hint="eastAsia" w:ascii="宋体" w:hAnsi="宋体" w:eastAsia="宋体" w:cs="宋体"/>
      <w:color w:val="000000"/>
      <w:sz w:val="22"/>
      <w:szCs w:val="22"/>
      <w:u w:val="none"/>
    </w:rPr>
  </w:style>
  <w:style w:type="paragraph" w:customStyle="1" w:styleId="35">
    <w:name w:val="修订2"/>
    <w:hidden/>
    <w:semiHidden/>
    <w:qFormat/>
    <w:uiPriority w:val="99"/>
    <w:rPr>
      <w:rFonts w:ascii="等线" w:hAnsi="等线" w:eastAsia="等线"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oleObject3.bin"/><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CB4DC-BBC0-4E42-98B6-F87CEB274601}">
  <ds:schemaRefs/>
</ds:datastoreItem>
</file>

<file path=docProps/app.xml><?xml version="1.0" encoding="utf-8"?>
<Properties xmlns="http://schemas.openxmlformats.org/officeDocument/2006/extended-properties" xmlns:vt="http://schemas.openxmlformats.org/officeDocument/2006/docPropsVTypes">
  <Template>Normal</Template>
  <Company>yujiahui</Company>
  <Pages>7</Pages>
  <Words>4426</Words>
  <Characters>5153</Characters>
  <Lines>39</Lines>
  <Paragraphs>11</Paragraphs>
  <TotalTime>242</TotalTime>
  <ScaleCrop>false</ScaleCrop>
  <LinksUpToDate>false</LinksUpToDate>
  <CharactersWithSpaces>5201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2025-11-07T01:52:00Z</dcterms:created>
  <dc:creator>Yiru LIU</dc:creator>
  <cp:lastModifiedBy>张鹏</cp:lastModifiedBy>
  <dcterms:modified xsi:type="dcterms:W3CDTF">2025-11-11T07:17:45Z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32174F5246A0446C98B2B9C27C9EF674_13</vt:lpwstr>
  </property>
  <property fmtid="{D5CDD505-2E9C-101B-9397-08002B2CF9AE}" pid="4" name="KSOTemplateDocerSaveRecord">
    <vt:lpwstr>eyJoZGlkIjoiNjYxOTE0NzFmZmNjYTVjODY0NTJmNTMzMDJiMjMwOTkiLCJ1c2VySWQiOiIyNTQ1NzYyMzUifQ==</vt:lpwstr>
  </property>
</Properties>
</file>